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197E0B" w:rsidP="00197E0B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978dkzzmo0000sgckksks004w_big"/>
          </v:shape>
        </w:pict>
      </w:r>
    </w:p>
    <w:p w:rsidR="00197E0B" w:rsidP="00197E0B">
      <w:pPr>
        <w:tabs>
          <w:tab w:val="left" w:pos="1134"/>
        </w:tabs>
        <w:jc w:val="center"/>
        <w:rPr>
          <w:rFonts w:eastAsia="Calibri"/>
          <w:color w:val="000000"/>
          <w:kern w:val="0"/>
          <w:sz w:val="34"/>
          <w:szCs w:val="34"/>
          <w:lang w:eastAsia="ar-SA"/>
        </w:rPr>
      </w:pPr>
      <w:r>
        <w:rPr>
          <w:rFonts w:eastAsia="Calibri"/>
          <w:b/>
          <w:bCs/>
          <w:sz w:val="34"/>
          <w:szCs w:val="34"/>
        </w:rPr>
        <w:t>АДМИНИСТРАЦИЯ НОВОТИТАРОВСКОГО</w:t>
      </w:r>
    </w:p>
    <w:p w:rsidR="00197E0B" w:rsidP="00197E0B">
      <w:pPr>
        <w:tabs>
          <w:tab w:val="left" w:pos="1134"/>
        </w:tabs>
        <w:jc w:val="center"/>
        <w:rPr>
          <w:rFonts w:eastAsia="Calibri"/>
          <w:b/>
          <w:bCs/>
          <w:kern w:val="2"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</w:rPr>
        <w:t>СЕЛЬСКОГО ПОСЕЛЕНИЯ ДИНСКОГО РАЙОНА</w:t>
      </w:r>
    </w:p>
    <w:p w:rsidR="00197E0B" w:rsidP="00197E0B">
      <w:pPr>
        <w:tabs>
          <w:tab w:val="left" w:pos="1134"/>
        </w:tabs>
        <w:jc w:val="center"/>
        <w:rPr>
          <w:rFonts w:eastAsia="Calibri"/>
          <w:b/>
          <w:bCs/>
          <w:kern w:val="0"/>
          <w:sz w:val="34"/>
          <w:szCs w:val="34"/>
          <w:lang w:eastAsia="ar-SA"/>
        </w:rPr>
      </w:pPr>
    </w:p>
    <w:p w:rsidR="00197E0B" w:rsidP="00197E0B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</w:rPr>
        <w:t>ПОСТАНОВЛЕНИЕ</w:t>
      </w:r>
    </w:p>
    <w:p w:rsidR="00197E0B" w:rsidP="00197E0B">
      <w:pPr>
        <w:rPr>
          <w:rFonts w:eastAsia="Calibri"/>
          <w:kern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от 28.01.2022                                                                                             № 40</w:t>
      </w:r>
    </w:p>
    <w:p w:rsidR="00197E0B" w:rsidP="001A1A2A">
      <w:pPr>
        <w:ind w:right="27"/>
        <w:jc w:val="center"/>
        <w:rPr>
          <w:rFonts w:eastAsia="Calibri"/>
          <w:sz w:val="28"/>
          <w:szCs w:val="28"/>
          <w:lang w:eastAsia="en-US"/>
        </w:rPr>
      </w:pPr>
      <w:r w:rsidR="001A1A2A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Новотитаровская</w:t>
      </w: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</w:t>
      </w:r>
      <w:r>
        <w:rPr>
          <w:color w:val="000000"/>
          <w:spacing w:val="2"/>
          <w:sz w:val="28"/>
          <w:szCs w:val="28"/>
        </w:rPr>
        <w:t xml:space="preserve">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A2758F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Pr="00525F78" w:rsid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525F78" w:rsidR="00525F78">
        <w:rPr>
          <w:color w:val="000000"/>
          <w:sz w:val="28"/>
          <w:szCs w:val="28"/>
        </w:rPr>
        <w:t xml:space="preserve"> </w:t>
      </w:r>
    </w:p>
    <w:p w:rsidR="00525F7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 w:rsidRPr="00525F78">
        <w:rPr>
          <w:color w:val="000000"/>
          <w:sz w:val="28"/>
          <w:szCs w:val="28"/>
        </w:rPr>
        <w:t>Новотитаровского</w:t>
      </w:r>
      <w:r w:rsidR="00A2758F">
        <w:rPr>
          <w:color w:val="000000"/>
          <w:sz w:val="28"/>
          <w:szCs w:val="28"/>
        </w:rPr>
        <w:t xml:space="preserve"> </w:t>
      </w:r>
      <w:r w:rsidRPr="00525F78">
        <w:rPr>
          <w:color w:val="000000"/>
          <w:sz w:val="28"/>
          <w:szCs w:val="28"/>
        </w:rPr>
        <w:t xml:space="preserve">сельского поселения                                  </w:t>
      </w:r>
      <w:r w:rsidR="004B57AB">
        <w:rPr>
          <w:color w:val="000000"/>
          <w:sz w:val="28"/>
          <w:szCs w:val="28"/>
        </w:rPr>
        <w:t xml:space="preserve">     </w:t>
      </w:r>
      <w:r w:rsidR="00A2758F">
        <w:rPr>
          <w:color w:val="000000"/>
          <w:sz w:val="28"/>
          <w:szCs w:val="28"/>
        </w:rPr>
        <w:t>Г.Н. Черныш</w:t>
      </w:r>
    </w:p>
    <w:p w:rsidR="00525F7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4B57AB" w:rsidP="004B57AB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CA7930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4CA8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Style w:val="IntenseEmphasis"/>
        </w:rPr>
      </w:pPr>
    </w:p>
    <w:p w:rsidR="00DD4CA8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№1</w:t>
      </w:r>
    </w:p>
    <w:p w:rsidR="00DD4CA8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Новотитаровского сельского поселения Динского района</w:t>
      </w:r>
    </w:p>
    <w:p w:rsidR="00DD4CA8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6A2CDA">
        <w:rPr>
          <w:rFonts w:ascii="Times New Roman" w:eastAsia="Times New Roman" w:hAnsi="Times New Roman"/>
          <w:sz w:val="24"/>
          <w:szCs w:val="24"/>
          <w:lang w:eastAsia="ar-SA"/>
        </w:rPr>
        <w:t>28.01.20</w:t>
      </w:r>
      <w:r w:rsidR="006A2CDA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6A2CDA">
        <w:rPr>
          <w:rFonts w:ascii="Times New Roman" w:eastAsia="Times New Roman" w:hAnsi="Times New Roman"/>
          <w:sz w:val="24"/>
          <w:szCs w:val="24"/>
          <w:lang w:eastAsia="ar-SA"/>
        </w:rPr>
        <w:t>40</w:t>
      </w:r>
    </w:p>
    <w:p w:rsidR="00DD4CA8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4CA8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DB2529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="00DD4CA8">
        <w:rPr>
          <w:rFonts w:ascii="Times New Roman" w:eastAsia="Times New Roman" w:hAnsi="Times New Roman"/>
          <w:sz w:val="24"/>
          <w:szCs w:val="24"/>
          <w:lang w:eastAsia="ar-SA"/>
        </w:rPr>
        <w:t xml:space="preserve">к муниципальной программе «Комплексное развитие систем транспортной </w:t>
      </w:r>
      <w:r w:rsidR="00DD4CA8">
        <w:rPr>
          <w:rFonts w:ascii="Times New Roman" w:eastAsia="Times New Roman" w:hAnsi="Times New Roman"/>
          <w:sz w:val="24"/>
          <w:szCs w:val="24"/>
          <w:lang w:eastAsia="ar-SA"/>
        </w:rPr>
        <w:t>инфраструктуры и дорожного хозяйства на террит</w:t>
      </w:r>
      <w:r w:rsidR="00DD4CA8">
        <w:rPr>
          <w:rFonts w:ascii="Times New Roman" w:eastAsia="Times New Roman" w:hAnsi="Times New Roman"/>
          <w:sz w:val="24"/>
          <w:szCs w:val="24"/>
          <w:lang w:eastAsia="ar-SA"/>
        </w:rPr>
        <w:t>ории Новотитаров</w:t>
      </w:r>
      <w:r w:rsidR="00DD4CA8">
        <w:rPr>
          <w:rFonts w:ascii="Times New Roman" w:eastAsia="Times New Roman" w:hAnsi="Times New Roman"/>
          <w:sz w:val="24"/>
          <w:szCs w:val="24"/>
          <w:lang w:eastAsia="ar-SA"/>
        </w:rPr>
        <w:t xml:space="preserve">ского сельского поселения на </w:t>
      </w:r>
    </w:p>
    <w:p w:rsidR="00DD4CA8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022-2024 годы».</w:t>
      </w:r>
    </w:p>
    <w:p w:rsidR="00DD4CA8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D07C4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2BA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D07C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</w:t>
      </w:r>
      <w:r w:rsidRPr="004D07C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4D07C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программных мероприятий</w:t>
      </w:r>
    </w:p>
    <w:p w:rsidR="004D07C4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D07C4" w:rsidRPr="004D07C4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38"/>
        <w:gridCol w:w="44"/>
        <w:gridCol w:w="1965"/>
        <w:gridCol w:w="25"/>
        <w:gridCol w:w="1534"/>
        <w:gridCol w:w="25"/>
        <w:gridCol w:w="1024"/>
        <w:gridCol w:w="992"/>
        <w:gridCol w:w="1136"/>
        <w:gridCol w:w="7"/>
        <w:gridCol w:w="11"/>
      </w:tblGrid>
      <w:tr w:rsidTr="00DB2529">
        <w:tblPrEx>
          <w:tblW w:w="0" w:type="auto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6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Финансирование, </w:t>
            </w:r>
          </w:p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trHeight w:val="1525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545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ремо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 ав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томобильных до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рог</w:t>
            </w:r>
          </w:p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A125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A125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81C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A125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19000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Грейдирование дорог</w:t>
            </w:r>
            <w:r w:rsidR="00CC6F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услуги </w:t>
            </w:r>
            <w:r w:rsidR="00CC6F8E">
              <w:rPr>
                <w:rFonts w:ascii="Times New Roman" w:hAnsi="Times New Roman"/>
                <w:color w:val="000000"/>
                <w:sz w:val="28"/>
                <w:szCs w:val="28"/>
              </w:rPr>
              <w:t>дорожной техники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етение асфальта, ямочный ремонт асфальтовых дорог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транспортной инфр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Проектно-изыскат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r w:rsidR="00974ACD">
              <w:rPr>
                <w:rFonts w:ascii="Times New Roman" w:hAnsi="Times New Roman"/>
                <w:color w:val="000000"/>
                <w:sz w:val="28"/>
                <w:szCs w:val="28"/>
              </w:rPr>
              <w:t>, инструментальная диагностика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исходной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44CD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44CD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ческий надзор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портной инфраст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Очистка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проезжей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от мусора, грязи и посторонних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предметов, мойка покр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ытий</w:t>
            </w:r>
          </w:p>
          <w:p w:rsidR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очин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вывозом грунта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транспортной инф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Асфальтирование гравийных дорог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трансп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ортной инфрастру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281C99"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10250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P="00B72E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безоп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асности дорожного дв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ижения</w:t>
            </w:r>
          </w:p>
          <w:p w:rsidR="00B72E20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 изготовления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</w:t>
            </w:r>
            <w:r w:rsidR="00CC6F8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ограждений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ение безопасности дорожного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дорожной разметки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безопасности дор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установка дорожных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безопас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ности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светофорных объектов</w:t>
            </w:r>
            <w:r w:rsidR="00C77F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77F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</w:t>
            </w:r>
            <w:r w:rsidR="00C77FE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C77FEC">
              <w:rPr>
                <w:rFonts w:ascii="Times New Roman" w:hAnsi="Times New Roman"/>
                <w:color w:val="000000"/>
                <w:sz w:val="28"/>
                <w:szCs w:val="28"/>
              </w:rPr>
              <w:t>етение оборудования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безопасности дорож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прот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ивогол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оледных материалов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 дорож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Механизированная снего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очистк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расч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истка автомобильных дорог от снежных занос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ов, уборка снежных валов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обочин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безопасности доро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ного дв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Прио</w:t>
            </w: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бретение мате</w:t>
            </w: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риалов для устройства временных пешеходных дороже</w:t>
            </w:r>
            <w:r w:rsidR="00300E6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 исходной 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color w:val="000000"/>
                <w:sz w:val="28"/>
                <w:szCs w:val="28"/>
              </w:rPr>
              <w:t>2700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P="001925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110D" w:rsidR="00FF11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Реализация национального проекта </w:t>
            </w:r>
          </w:p>
          <w:p w:rsidR="00FF110D" w:rsidP="00192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1925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1925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Безопасные и качественные автомобильные дороги</w:t>
            </w:r>
            <w:r w:rsidR="001925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69636F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="00665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65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</w:t>
            </w:r>
            <w:r w:rsidR="001925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665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FF110D" w:rsidRPr="00FF110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FF110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F110D" w:rsidRPr="00FF110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FF110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F110D" w:rsidRPr="00FF110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P="00C135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P="00C1350E"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в нормативное состояние улично</w:t>
            </w:r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-дорожной сети городских </w:t>
            </w:r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>агломераций (</w:t>
            </w:r>
            <w:r w:rsidR="00710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</w:t>
            </w:r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>дороги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Советская от ул. Ленина до ул. Крайняя ст.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>Новотитаровской)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P="00C135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транспортной инфраст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439</w:t>
            </w:r>
            <w:r w:rsidR="00544C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P="00C135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193916" w:rsidP="00C135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P="00C135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 поселени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19252E">
              <w:rPr>
                <w:rFonts w:ascii="Times New Roman" w:hAnsi="Times New Roman"/>
                <w:color w:val="000000"/>
                <w:sz w:val="28"/>
                <w:szCs w:val="28"/>
              </w:rPr>
              <w:t>444,</w:t>
            </w:r>
            <w:r w:rsidR="00710F4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="00512E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496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665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2455</w:t>
            </w:r>
            <w:r w:rsidR="001925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710F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="00EA17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26500</w:t>
            </w:r>
          </w:p>
        </w:tc>
      </w:tr>
    </w:tbl>
    <w:p w:rsidR="00221F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A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F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r w:rsidR="0019252E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</w:t>
      </w:r>
      <w:r>
        <w:rPr>
          <w:rFonts w:ascii="Times New Roman" w:hAnsi="Times New Roman"/>
          <w:color w:val="000000"/>
          <w:sz w:val="28"/>
          <w:szCs w:val="28"/>
        </w:rPr>
        <w:t>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color w:val="000000"/>
          <w:sz w:val="28"/>
          <w:szCs w:val="28"/>
        </w:rPr>
        <w:t>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ЖК</w:t>
      </w:r>
      <w:r>
        <w:rPr>
          <w:rFonts w:ascii="Times New Roman" w:hAnsi="Times New Roman"/>
          <w:color w:val="000000"/>
          <w:sz w:val="28"/>
          <w:szCs w:val="28"/>
        </w:rPr>
        <w:t xml:space="preserve">Х, транспорта, </w:t>
      </w:r>
    </w:p>
    <w:p w:rsidR="00221FF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среднего бизнеса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882FA0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82FA0">
        <w:rPr>
          <w:rFonts w:ascii="Times New Roman" w:hAnsi="Times New Roman"/>
          <w:color w:val="000000"/>
          <w:sz w:val="28"/>
          <w:szCs w:val="28"/>
        </w:rPr>
        <w:t>М</w:t>
      </w:r>
      <w:r w:rsidR="00B42A63">
        <w:rPr>
          <w:rFonts w:ascii="Times New Roman" w:hAnsi="Times New Roman"/>
          <w:color w:val="000000"/>
          <w:sz w:val="28"/>
          <w:szCs w:val="28"/>
        </w:rPr>
        <w:t>.</w:t>
      </w:r>
      <w:r w:rsidR="00882FA0">
        <w:rPr>
          <w:rFonts w:ascii="Times New Roman" w:hAnsi="Times New Roman"/>
          <w:color w:val="000000"/>
          <w:sz w:val="28"/>
          <w:szCs w:val="28"/>
        </w:rPr>
        <w:t>М</w:t>
      </w:r>
      <w:r w:rsidR="00B42A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82FA0">
        <w:rPr>
          <w:rFonts w:ascii="Times New Roman" w:hAnsi="Times New Roman"/>
          <w:color w:val="000000"/>
          <w:sz w:val="28"/>
          <w:szCs w:val="28"/>
        </w:rPr>
        <w:t>Бондарь</w:t>
      </w:r>
      <w:r w:rsidR="00B42A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Sect="00DB2529">
      <w:headerReference w:type="default" r:id="rId6"/>
      <w:pgSz w:w="11906" w:h="16838"/>
      <w:pgMar w:top="426" w:right="566" w:bottom="85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 xml:space="preserve">PAGE  </w:instrText>
    </w:r>
    <w:r>
      <w:instrText xml:space="preserve"> \* MERGEF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300DC"/>
    <w:rsid w:val="00065E42"/>
    <w:rsid w:val="00071E66"/>
    <w:rsid w:val="00092B9E"/>
    <w:rsid w:val="000C4EDA"/>
    <w:rsid w:val="00105A83"/>
    <w:rsid w:val="00162641"/>
    <w:rsid w:val="0019252E"/>
    <w:rsid w:val="00193916"/>
    <w:rsid w:val="00197E0B"/>
    <w:rsid w:val="001A1A2A"/>
    <w:rsid w:val="00221FF3"/>
    <w:rsid w:val="002717B3"/>
    <w:rsid w:val="00281C99"/>
    <w:rsid w:val="00287F0A"/>
    <w:rsid w:val="002925E8"/>
    <w:rsid w:val="002C766C"/>
    <w:rsid w:val="002E3D67"/>
    <w:rsid w:val="00300E6A"/>
    <w:rsid w:val="00375BC0"/>
    <w:rsid w:val="00385330"/>
    <w:rsid w:val="003B56E8"/>
    <w:rsid w:val="004B556E"/>
    <w:rsid w:val="004B57AB"/>
    <w:rsid w:val="004D07C4"/>
    <w:rsid w:val="00512E69"/>
    <w:rsid w:val="005202BA"/>
    <w:rsid w:val="00525F78"/>
    <w:rsid w:val="00544CDE"/>
    <w:rsid w:val="005C2E0F"/>
    <w:rsid w:val="005E30B5"/>
    <w:rsid w:val="0066502D"/>
    <w:rsid w:val="00676DEA"/>
    <w:rsid w:val="006836BF"/>
    <w:rsid w:val="00693A87"/>
    <w:rsid w:val="0069636F"/>
    <w:rsid w:val="006A2CDA"/>
    <w:rsid w:val="006D5508"/>
    <w:rsid w:val="006E554C"/>
    <w:rsid w:val="00710F40"/>
    <w:rsid w:val="007D35F3"/>
    <w:rsid w:val="00800D20"/>
    <w:rsid w:val="00841E88"/>
    <w:rsid w:val="00874932"/>
    <w:rsid w:val="00882FA0"/>
    <w:rsid w:val="008E7003"/>
    <w:rsid w:val="009119D0"/>
    <w:rsid w:val="00911F45"/>
    <w:rsid w:val="00955BFF"/>
    <w:rsid w:val="00974ACD"/>
    <w:rsid w:val="00A125C3"/>
    <w:rsid w:val="00A2758F"/>
    <w:rsid w:val="00A369B3"/>
    <w:rsid w:val="00AB128D"/>
    <w:rsid w:val="00AF3F71"/>
    <w:rsid w:val="00B42A63"/>
    <w:rsid w:val="00B537F2"/>
    <w:rsid w:val="00B67FFA"/>
    <w:rsid w:val="00B72E20"/>
    <w:rsid w:val="00B904A3"/>
    <w:rsid w:val="00BC5FAE"/>
    <w:rsid w:val="00C1350E"/>
    <w:rsid w:val="00C37E4A"/>
    <w:rsid w:val="00C54B70"/>
    <w:rsid w:val="00C77FEC"/>
    <w:rsid w:val="00C87419"/>
    <w:rsid w:val="00CA7930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D4CA8"/>
    <w:rsid w:val="00E005F8"/>
    <w:rsid w:val="00E634EF"/>
    <w:rsid w:val="00EA17CB"/>
    <w:rsid w:val="00EE484B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10ED-E217-4FF5-A8FA-4F5A44F2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36</cp:revision>
  <cp:lastPrinted>2022-01-28T11:06:00Z</cp:lastPrinted>
  <dcterms:created xsi:type="dcterms:W3CDTF">2018-02-01T12:59:00Z</dcterms:created>
  <dcterms:modified xsi:type="dcterms:W3CDTF">2022-02-04T08:25:00Z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