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12" w:rsidRDefault="00120C1D" w:rsidP="00175F12">
      <w:pPr>
        <w:jc w:val="center"/>
        <w:rPr>
          <w:sz w:val="24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inline distT="0" distB="0" distL="0" distR="0">
            <wp:extent cx="502920" cy="61722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F12" w:rsidRPr="00D34477" w:rsidRDefault="00AD3108" w:rsidP="00175F12">
      <w:pPr>
        <w:tabs>
          <w:tab w:val="left" w:pos="1134"/>
        </w:tabs>
        <w:jc w:val="center"/>
        <w:rPr>
          <w:sz w:val="32"/>
          <w:szCs w:val="28"/>
          <w:lang w:eastAsia="en-US"/>
        </w:rPr>
      </w:pPr>
      <w:r w:rsidRPr="00D34477">
        <w:rPr>
          <w:b/>
          <w:bCs/>
          <w:sz w:val="32"/>
          <w:szCs w:val="28"/>
        </w:rPr>
        <w:t>АДМИНИСТРАЦИЯ НОВОТИТАРОВСКОГО</w:t>
      </w:r>
    </w:p>
    <w:p w:rsidR="00175F12" w:rsidRPr="00D34477" w:rsidRDefault="00AD3108" w:rsidP="00175F12">
      <w:pPr>
        <w:tabs>
          <w:tab w:val="left" w:pos="1134"/>
        </w:tabs>
        <w:jc w:val="center"/>
        <w:rPr>
          <w:sz w:val="32"/>
          <w:szCs w:val="28"/>
          <w:lang w:eastAsia="ar-SA"/>
        </w:rPr>
      </w:pPr>
      <w:r w:rsidRPr="00D34477">
        <w:rPr>
          <w:b/>
          <w:bCs/>
          <w:sz w:val="32"/>
          <w:szCs w:val="28"/>
        </w:rPr>
        <w:t>СЕЛЬСКОГО ПОСЕЛЕНИЯ ДИНСКОГО РАЙОНА</w:t>
      </w:r>
    </w:p>
    <w:p w:rsidR="00175F12" w:rsidRPr="00D34477" w:rsidRDefault="00175F12" w:rsidP="00175F12">
      <w:pPr>
        <w:tabs>
          <w:tab w:val="left" w:pos="1134"/>
        </w:tabs>
        <w:jc w:val="center"/>
        <w:rPr>
          <w:b/>
          <w:bCs/>
          <w:kern w:val="0"/>
          <w:sz w:val="32"/>
          <w:szCs w:val="28"/>
        </w:rPr>
      </w:pPr>
    </w:p>
    <w:p w:rsidR="00175F12" w:rsidRPr="00D34477" w:rsidRDefault="00AD3108" w:rsidP="00175F12">
      <w:pPr>
        <w:tabs>
          <w:tab w:val="left" w:pos="1134"/>
        </w:tabs>
        <w:jc w:val="center"/>
        <w:rPr>
          <w:color w:val="000000"/>
          <w:kern w:val="2"/>
          <w:sz w:val="32"/>
          <w:szCs w:val="28"/>
          <w:lang w:eastAsia="en-US"/>
        </w:rPr>
      </w:pPr>
      <w:r w:rsidRPr="00D34477">
        <w:rPr>
          <w:b/>
          <w:bCs/>
          <w:sz w:val="32"/>
          <w:szCs w:val="28"/>
        </w:rPr>
        <w:t>ПОСТАНОВЛЕНИЕ</w:t>
      </w:r>
    </w:p>
    <w:p w:rsidR="00175F12" w:rsidRDefault="00AD3108" w:rsidP="00175F12">
      <w:pPr>
        <w:ind w:firstLine="284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от 30.01.2024                         </w:t>
      </w:r>
      <w:r w:rsidR="00D3447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№ 78</w:t>
      </w:r>
    </w:p>
    <w:p w:rsidR="00175F12" w:rsidRDefault="00AD3108" w:rsidP="00175F12">
      <w:pPr>
        <w:ind w:right="27"/>
        <w:jc w:val="center"/>
        <w:rPr>
          <w:kern w:val="3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175F12" w:rsidRDefault="00175F12" w:rsidP="00175F12">
      <w:pPr>
        <w:ind w:right="991"/>
        <w:jc w:val="center"/>
        <w:rPr>
          <w:b/>
          <w:kern w:val="0"/>
          <w:sz w:val="28"/>
          <w:szCs w:val="28"/>
        </w:rPr>
      </w:pPr>
    </w:p>
    <w:p w:rsidR="002E3D67" w:rsidRDefault="00AD3108" w:rsidP="007B17A1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 w:rsidRDefault="002E3D67">
      <w:pPr>
        <w:jc w:val="both"/>
        <w:rPr>
          <w:b/>
          <w:sz w:val="28"/>
          <w:szCs w:val="28"/>
        </w:rPr>
      </w:pPr>
    </w:p>
    <w:p w:rsidR="009D2242" w:rsidRDefault="002E3D67" w:rsidP="002712C0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2E3D67" w:rsidRDefault="00AD3108" w:rsidP="002712C0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 w:rsidRDefault="00AD3108" w:rsidP="002712C0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</w:t>
      </w:r>
      <w:r>
        <w:rPr>
          <w:color w:val="000000"/>
          <w:sz w:val="28"/>
          <w:szCs w:val="28"/>
        </w:rPr>
        <w:t xml:space="preserve">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</w:t>
      </w:r>
      <w:r>
        <w:rPr>
          <w:color w:val="000000"/>
          <w:spacing w:val="2"/>
          <w:sz w:val="28"/>
          <w:szCs w:val="28"/>
        </w:rPr>
        <w:t>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 w:rsidRDefault="00AD3108" w:rsidP="002712C0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2E3D67" w:rsidRDefault="00AD3108" w:rsidP="002712C0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B11160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2E3D67" w:rsidRDefault="00AD3108" w:rsidP="002712C0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ЖКХ, транспорт</w:t>
      </w:r>
      <w:r>
        <w:rPr>
          <w:color w:val="000000"/>
          <w:sz w:val="28"/>
          <w:szCs w:val="28"/>
        </w:rPr>
        <w:t xml:space="preserve">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 w:rsidRDefault="00AD3108" w:rsidP="002712C0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263BE6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 w:rsidRDefault="00AD3108" w:rsidP="002712C0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 w:rsidRDefault="00AD3108" w:rsidP="002712C0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</w:t>
      </w:r>
      <w:r>
        <w:rPr>
          <w:color w:val="000000"/>
          <w:sz w:val="28"/>
          <w:szCs w:val="28"/>
        </w:rPr>
        <w:t xml:space="preserve"> его подписания.</w:t>
      </w: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7B17A1" w:rsidRDefault="007B17A1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D34477" w:rsidRDefault="00D34477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FE43C5" w:rsidRDefault="004D2AEC" w:rsidP="004D2AEC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9B73A5" w:rsidRDefault="004D2AEC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AD310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AD3108">
        <w:rPr>
          <w:color w:val="000000"/>
          <w:sz w:val="28"/>
          <w:szCs w:val="28"/>
        </w:rPr>
        <w:t xml:space="preserve"> </w:t>
      </w:r>
      <w:r w:rsidR="00E96E84">
        <w:rPr>
          <w:color w:val="000000"/>
          <w:sz w:val="28"/>
          <w:szCs w:val="28"/>
        </w:rPr>
        <w:t>Новотитаровского</w:t>
      </w:r>
      <w:r w:rsidR="006F399B">
        <w:rPr>
          <w:color w:val="000000"/>
          <w:sz w:val="28"/>
          <w:szCs w:val="28"/>
        </w:rPr>
        <w:t xml:space="preserve"> </w:t>
      </w:r>
    </w:p>
    <w:p w:rsidR="0030191B" w:rsidRDefault="00E31D0B" w:rsidP="004B57AB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25F78" w:rsidRPr="00525F78">
        <w:rPr>
          <w:color w:val="000000"/>
          <w:sz w:val="28"/>
          <w:szCs w:val="28"/>
        </w:rPr>
        <w:t>ельского поселения</w:t>
      </w:r>
      <w:r w:rsidR="00766F19">
        <w:rPr>
          <w:color w:val="000000"/>
          <w:sz w:val="28"/>
          <w:szCs w:val="28"/>
        </w:rPr>
        <w:t xml:space="preserve">                                   </w:t>
      </w:r>
      <w:r w:rsidR="003A7F1B">
        <w:rPr>
          <w:color w:val="000000"/>
          <w:sz w:val="28"/>
          <w:szCs w:val="28"/>
        </w:rPr>
        <w:t xml:space="preserve">         </w:t>
      </w:r>
      <w:r w:rsidR="004B57AB">
        <w:rPr>
          <w:color w:val="000000"/>
          <w:sz w:val="28"/>
          <w:szCs w:val="28"/>
        </w:rPr>
        <w:t xml:space="preserve"> </w:t>
      </w:r>
      <w:r w:rsidR="009B73A5">
        <w:rPr>
          <w:color w:val="000000"/>
          <w:sz w:val="28"/>
          <w:szCs w:val="28"/>
        </w:rPr>
        <w:t xml:space="preserve">                            </w:t>
      </w:r>
      <w:r w:rsidR="004D2AEC">
        <w:rPr>
          <w:color w:val="000000"/>
          <w:sz w:val="28"/>
          <w:szCs w:val="28"/>
        </w:rPr>
        <w:t>Г.Н. Черныш</w:t>
      </w:r>
    </w:p>
    <w:p w:rsidR="002E3D67" w:rsidRDefault="002E3D67">
      <w:pPr>
        <w:rPr>
          <w:sz w:val="28"/>
          <w:szCs w:val="28"/>
        </w:rPr>
        <w:sectPr w:rsidR="002E3D67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</w:p>
    <w:p w:rsidR="00DD4CA8" w:rsidRPr="00CB7D5D" w:rsidRDefault="00AD3108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lastRenderedPageBreak/>
        <w:t>ПРИЛОЖЕНИЕ №1</w:t>
      </w:r>
    </w:p>
    <w:p w:rsidR="00DD4CA8" w:rsidRPr="00CB7D5D" w:rsidRDefault="00AD310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к постановлению администрации Новотитаровского сельского</w:t>
      </w:r>
      <w:r w:rsidRPr="00CB7D5D">
        <w:rPr>
          <w:kern w:val="0"/>
          <w:sz w:val="28"/>
          <w:szCs w:val="28"/>
          <w:lang w:eastAsia="ar-SA"/>
        </w:rPr>
        <w:t xml:space="preserve"> поселения Динского района</w:t>
      </w:r>
    </w:p>
    <w:p w:rsidR="00DD4CA8" w:rsidRPr="00CB7D5D" w:rsidRDefault="00AD310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от </w:t>
      </w:r>
      <w:r w:rsidR="000F5AF0">
        <w:rPr>
          <w:kern w:val="0"/>
          <w:sz w:val="28"/>
          <w:szCs w:val="28"/>
          <w:lang w:eastAsia="ar-SA"/>
        </w:rPr>
        <w:t>30.01.2024</w:t>
      </w:r>
      <w:r w:rsidRPr="00CB7D5D">
        <w:rPr>
          <w:kern w:val="0"/>
          <w:sz w:val="28"/>
          <w:szCs w:val="28"/>
          <w:lang w:eastAsia="ar-SA"/>
        </w:rPr>
        <w:t xml:space="preserve"> № </w:t>
      </w:r>
      <w:r w:rsidR="000F5AF0">
        <w:rPr>
          <w:kern w:val="0"/>
          <w:sz w:val="28"/>
          <w:szCs w:val="28"/>
          <w:lang w:eastAsia="ar-SA"/>
        </w:rPr>
        <w:t>78</w:t>
      </w:r>
    </w:p>
    <w:p w:rsidR="00DD4CA8" w:rsidRPr="00CB7D5D" w:rsidRDefault="00DD4CA8" w:rsidP="00DD4CA8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DD4CA8" w:rsidRPr="00CB7D5D" w:rsidRDefault="00AD3108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 1</w:t>
      </w:r>
    </w:p>
    <w:p w:rsidR="00DB2529" w:rsidRPr="00CB7D5D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транспортной инфраструктуры и дорожного хозяйства на территории Новотитаровского сельского поселения на </w:t>
      </w:r>
    </w:p>
    <w:p w:rsidR="004D07C4" w:rsidRPr="00367AE1" w:rsidRDefault="00DD4CA8" w:rsidP="005202BA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2022-2024 годы».</w:t>
      </w:r>
    </w:p>
    <w:p w:rsidR="004D07C4" w:rsidRPr="00367AE1" w:rsidRDefault="005202BA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  <w:r w:rsidRPr="00367AE1">
        <w:rPr>
          <w:b/>
          <w:bCs/>
          <w:kern w:val="0"/>
          <w:sz w:val="28"/>
          <w:szCs w:val="28"/>
          <w:lang w:eastAsia="ar-SA"/>
        </w:rPr>
        <w:t>Перечень программных мероприятий</w:t>
      </w: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BE38A9" w:rsidTr="00202278">
        <w:trPr>
          <w:trHeight w:val="893"/>
          <w:tblHeader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№</w:t>
            </w:r>
          </w:p>
          <w:p w:rsidR="00221FF3" w:rsidRPr="00B91293" w:rsidRDefault="00AD310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Финансирование, </w:t>
            </w:r>
          </w:p>
          <w:p w:rsidR="00221FF3" w:rsidRPr="00B91293" w:rsidRDefault="00AD310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тыс. руб.</w:t>
            </w:r>
          </w:p>
        </w:tc>
      </w:tr>
      <w:tr w:rsidR="00BE38A9" w:rsidTr="00202278">
        <w:trPr>
          <w:trHeight w:val="1420"/>
          <w:tblHeader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BE38A9" w:rsidTr="00202278">
        <w:trPr>
          <w:trHeight w:val="507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AD3108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Содержание и ремонт автомобильных дорог</w:t>
            </w:r>
          </w:p>
          <w:p w:rsidR="00221FF3" w:rsidRPr="00B91293" w:rsidRDefault="00221FF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16422,98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F5DE3" w:rsidP="00B9129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3194</w:t>
            </w:r>
            <w:r w:rsidR="00F611A7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F611A7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34851,7</w:t>
            </w:r>
          </w:p>
        </w:tc>
      </w:tr>
      <w:tr w:rsidR="00BE38A9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Грейдирование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дорог</w:t>
            </w:r>
            <w:r w:rsidR="00CC6F8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услуги дорожной техники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2342,5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2312,7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3800</w:t>
            </w:r>
          </w:p>
        </w:tc>
      </w:tr>
      <w:tr w:rsidR="00BE38A9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асфальта, ямочный ремонт асфальтовых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BB56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10696,1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10072,6</w:t>
            </w:r>
          </w:p>
        </w:tc>
      </w:tr>
      <w:tr w:rsidR="00BE38A9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</w:t>
            </w:r>
            <w:r w:rsidR="00974AC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инструментальная диагностика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221FF3" w:rsidRPr="00B91293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340</w:t>
            </w:r>
          </w:p>
          <w:p w:rsidR="000D3845" w:rsidRPr="00B91293" w:rsidRDefault="000D3845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D924B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671,6</w:t>
            </w:r>
          </w:p>
        </w:tc>
      </w:tr>
      <w:tr w:rsidR="00BE38A9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16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133B5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201</w:t>
            </w:r>
          </w:p>
        </w:tc>
      </w:tr>
      <w:tr w:rsidR="00BE38A9" w:rsidTr="00202278">
        <w:trPr>
          <w:trHeight w:val="4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F70E2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221FF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Очистка проезжей части от мусора, грязи и посторонних предметов, мойка покрыти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5B47B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E38A9" w:rsidTr="00202278">
        <w:trPr>
          <w:trHeight w:val="111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Профилирование обочин дорог, устройство кюветов с вывозом грунта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133B5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EA17CB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5B47B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E38A9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281C99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Асфальтирование гравийных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EC018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F5DE3" w:rsidP="00B9129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9579,</w:t>
            </w:r>
            <w:r w:rsidR="00F611A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20106,5</w:t>
            </w:r>
          </w:p>
        </w:tc>
      </w:tr>
      <w:tr w:rsidR="00BE38A9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Перевод гравийных дорог в асфальт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B91293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>4198</w:t>
            </w:r>
            <w:r w:rsidR="00B03D72"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>,703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E38A9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Устройство гравийных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52361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E38A9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щебня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2394,47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4D057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4692,</w:t>
            </w:r>
            <w:r w:rsidR="00E270B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E38A9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1293" w:rsidRDefault="00807F1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Софинансирование.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br/>
              <w:t>Приведение в нормативное состояние улично-дорожной сети городских агломераций</w:t>
            </w:r>
            <w:r w:rsidR="00F12BF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</w:p>
          <w:p w:rsidR="00F12BFD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Выполнение работ в рамках ремонта автомобильной дороги по ул. Советская от ул. Ленина (ПК 1 +35) в станице Новотитаровской (обустройство пешеходных переходов по ул. Советская в районе пересечения с ул. Коммунаров и ул. Октябрьской)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9F594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E38A9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 по капитальному ремонту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1089,3</w:t>
            </w:r>
            <w:r w:rsidR="00B03D72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D924B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="00D62B7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E38A9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Подсыпка и укрепление обочин гравийно-песчаной смесью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Повышение безопасности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E38A9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Инженерно-геодезические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117,9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RDefault="00D054C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BE38A9" w:rsidTr="00202278">
        <w:trPr>
          <w:trHeight w:val="692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AD3108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Обеспечение безопасности дорожного движения</w:t>
            </w:r>
          </w:p>
          <w:p w:rsidR="00B72E20" w:rsidRPr="00B91293" w:rsidRDefault="00B72E20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D556DA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8376,267</w:t>
            </w:r>
            <w:r w:rsidR="00B2532A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202278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10769,5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211537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14353,1</w:t>
            </w:r>
          </w:p>
        </w:tc>
      </w:tr>
      <w:tr w:rsidR="00BE38A9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Приобретение материалов для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изготовления и установк</w:t>
            </w:r>
            <w:r w:rsidR="00CC6F8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ограждений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49,7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600</w:t>
            </w:r>
          </w:p>
        </w:tc>
      </w:tr>
      <w:tr w:rsidR="00BE38A9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>1825,79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4119C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1940,4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3000</w:t>
            </w:r>
          </w:p>
        </w:tc>
      </w:tr>
      <w:tr w:rsidR="00BE38A9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установка дорожных знаков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32"/>
                <w:szCs w:val="32"/>
                <w:lang w:eastAsia="en-US"/>
              </w:rPr>
              <w:t>1094,4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2749,</w:t>
            </w:r>
            <w:r w:rsidR="00F611A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1753,8</w:t>
            </w:r>
          </w:p>
        </w:tc>
      </w:tr>
      <w:tr w:rsidR="00BE38A9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Обслуживание светофорных объектов</w:t>
            </w:r>
            <w:r w:rsidR="00C77FEC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приобретение оборудования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555,4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353A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3499,3</w:t>
            </w:r>
          </w:p>
        </w:tc>
      </w:tr>
      <w:tr w:rsidR="00BE38A9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 распределение противогололедных материалов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340C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750,4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</w:tr>
      <w:tr w:rsidR="00BE38A9" w:rsidTr="00202278">
        <w:trPr>
          <w:trHeight w:val="54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Механизированная снегоочистка, расчистка автомобильных дорог от снежных заносов, уборка снежных валов с обочин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335,4</w:t>
            </w:r>
            <w:r w:rsidR="00993438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  <w:r w:rsidR="00B52346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BE38A9" w:rsidTr="00202278">
        <w:trPr>
          <w:trHeight w:val="40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1293" w:rsidRDefault="0066502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 для устройства временных пешеходных дороже</w:t>
            </w:r>
            <w:r w:rsidR="00300E6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  <w:r w:rsidR="00D556D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приобретение ГПС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1293" w:rsidRDefault="00AD310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2137,027</w:t>
            </w:r>
            <w:r w:rsidR="00B2532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2443,3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4000</w:t>
            </w:r>
          </w:p>
        </w:tc>
      </w:tr>
      <w:tr w:rsidR="00BE38A9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Софинансирован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ие для вступления в программу по строительству тротуаров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1293" w:rsidRDefault="00A125C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7478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E38A9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Работы по устройству временных пешеходных дорожек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1293" w:rsidRDefault="00AD310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</w:t>
            </w:r>
            <w:r w:rsidR="00AD3108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E38A9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Обустр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ойство пешеходных переходов по ул. Луначарского, ул. Ленина, ул. Западная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1293" w:rsidRDefault="00AD310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301,</w:t>
            </w:r>
            <w:r w:rsidR="00304AD7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E38A9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1293" w:rsidRDefault="0014523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парковки и тротуара </w:t>
            </w:r>
            <w:r w:rsidR="00AD3108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напротив малобюджетного спорт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ивного </w:t>
            </w:r>
            <w:r w:rsidR="00AD3108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комплекса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 </w:t>
            </w:r>
            <w:r w:rsidR="00AD3108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ул. </w:t>
            </w:r>
            <w:r w:rsidR="00614AFB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Ленина</w:t>
            </w:r>
            <w:r w:rsidR="00AD3108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1293" w:rsidRDefault="00AD310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799,4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E38A9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1293" w:rsidRDefault="00AD3108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1293" w:rsidRDefault="00AD3108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Установка ограничителей проезда по высоте по ул. Привокзальной, ул. Восточной, ул. Продольной в ст. Новотитаровская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1293" w:rsidRDefault="00AD3108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AD310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AD310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AD310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AD310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E38A9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1293" w:rsidRDefault="00AD3108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1293" w:rsidRDefault="00AD3108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искусственной дорожной неровности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1293" w:rsidRDefault="00AD3108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AD310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AD310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AD310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11</w:t>
            </w:r>
            <w:r w:rsidR="00F611A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AD310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E38A9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B91293" w:rsidRDefault="00AD3108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B91293" w:rsidRDefault="00AD3108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Обустройство пешеходной части дороги по ул. Советская, около д.61 в виде укладки тротуарной плитки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B91293" w:rsidRDefault="00AD3108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RDefault="00AD310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RDefault="00AD310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RDefault="00AD310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1777,4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RDefault="00AD310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E38A9" w:rsidTr="00202278">
        <w:trPr>
          <w:trHeight w:val="1860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B91293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3. </w:t>
            </w:r>
            <w:r w:rsidR="00AD3108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Реализация национального проекта </w:t>
            </w:r>
          </w:p>
          <w:p w:rsidR="00FF110D" w:rsidRPr="00B91293" w:rsidRDefault="0019252E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«Безопасные и качественные автомобильные </w:t>
            </w:r>
            <w:r w:rsidR="00B06C8D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дороги»  </w:t>
            </w:r>
            <w:r w:rsidR="00710F40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91293" w:rsidRDefault="00780BD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val="en-US"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888</w:t>
            </w:r>
            <w:r w:rsidR="0099014A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99014A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0524</w:t>
            </w:r>
          </w:p>
          <w:p w:rsidR="00FF110D" w:rsidRPr="00B91293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00902" w:rsidRDefault="00D417C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E38A9" w:rsidTr="00202278">
        <w:trPr>
          <w:trHeight w:val="1152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>3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B91293" w:rsidRDefault="0019252E" w:rsidP="007146D1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Приведение в нормативное состояние улично-дорожной сети городских агломераций (</w:t>
            </w:r>
            <w:r w:rsidR="00710F40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ремонт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дороги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ул. Советская от ул. Ленина до ул. Крайняя ст.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Новотитаровской)</w:t>
            </w:r>
            <w:r w:rsidR="00F12BF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F12BFD" w:rsidRPr="00B91293"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  <w:t xml:space="preserve"> (</w:t>
            </w:r>
            <w:r w:rsidR="00F12BF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обустройство пешеходных переходов по ул. Советская в районе пересечения с ул. Коммунаров и ул. Октябрьской) </w:t>
            </w:r>
          </w:p>
          <w:p w:rsidR="007146D1" w:rsidRPr="00B91293" w:rsidRDefault="00AD3108" w:rsidP="007146D1">
            <w:pPr>
              <w:widowControl/>
              <w:suppressAutoHyphens w:val="0"/>
              <w:autoSpaceDE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Софинансирование по программе «Капитальный </w:t>
            </w: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lastRenderedPageBreak/>
              <w:t>ремонт автомобильной дороги по ул. Южная. Ул. Калинина ст. Новотитаровская»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краевой бюджет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8439</w:t>
            </w:r>
            <w:r w:rsidR="00544CD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E38A9" w:rsidTr="00202278">
        <w:trPr>
          <w:trHeight w:val="270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B91293" w:rsidRDefault="004B556E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99014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444,25240</w:t>
            </w:r>
          </w:p>
          <w:p w:rsidR="0099014A" w:rsidRPr="00B91293" w:rsidRDefault="0099014A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D417CC" w:rsidP="00B9129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E38A9" w:rsidTr="00202278">
        <w:trPr>
          <w:trHeight w:val="2700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1293" w:rsidRDefault="00AD3108" w:rsidP="003F4323">
            <w:pPr>
              <w:widowControl/>
              <w:suppressAutoHyphens w:val="0"/>
              <w:autoSpaceDE/>
              <w:ind w:left="360"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4.Мероприятия по развитию автомобильных дорог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5F7DCA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5F7DCA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5F7DCA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5F7DCA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5F7DCA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5F7DCA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E38A9" w:rsidTr="00202278">
        <w:trPr>
          <w:trHeight w:val="27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323" w:rsidRPr="00B91293" w:rsidRDefault="00AD3108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Строительство (устройство) новых дорог в гравийном исполнении в х. Осечки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1293" w:rsidRDefault="00AD310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367AE1" w:rsidRDefault="00AD310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</w:tbl>
    <w:p w:rsidR="00DF7903" w:rsidRPr="00DF7903" w:rsidRDefault="00DF7903" w:rsidP="00DF7903">
      <w:pPr>
        <w:widowControl/>
        <w:suppressAutoHyphens w:val="0"/>
        <w:autoSpaceDE/>
        <w:spacing w:line="276" w:lineRule="auto"/>
        <w:rPr>
          <w:rFonts w:ascii="Calibri" w:eastAsia="Calibri" w:hAnsi="Calibri"/>
          <w:vanish/>
          <w:kern w:val="0"/>
          <w:sz w:val="22"/>
          <w:szCs w:val="22"/>
          <w:lang w:eastAsia="en-US"/>
        </w:rPr>
      </w:pPr>
      <w:bookmarkStart w:id="1" w:name="OLE_LINK1"/>
      <w:bookmarkStart w:id="2" w:name="OLE_LINK2"/>
      <w:bookmarkStart w:id="3" w:name="OLE_LINK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134"/>
        <w:gridCol w:w="1100"/>
      </w:tblGrid>
      <w:tr w:rsidR="00BE38A9" w:rsidTr="00157C53">
        <w:tc>
          <w:tcPr>
            <w:tcW w:w="6912" w:type="dxa"/>
            <w:shd w:val="clear" w:color="auto" w:fill="auto"/>
          </w:tcPr>
          <w:p w:rsidR="006D1CE1" w:rsidRPr="00386DC4" w:rsidRDefault="00AD3108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D1CE1" w:rsidRPr="00386DC4" w:rsidRDefault="00AD3108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33683,3</w:t>
            </w:r>
          </w:p>
        </w:tc>
        <w:tc>
          <w:tcPr>
            <w:tcW w:w="1134" w:type="dxa"/>
            <w:shd w:val="clear" w:color="auto" w:fill="auto"/>
          </w:tcPr>
          <w:p w:rsidR="006D1CE1" w:rsidRPr="00386DC4" w:rsidRDefault="00D5598B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44714,5</w:t>
            </w:r>
          </w:p>
        </w:tc>
        <w:tc>
          <w:tcPr>
            <w:tcW w:w="1100" w:type="dxa"/>
            <w:shd w:val="clear" w:color="auto" w:fill="auto"/>
          </w:tcPr>
          <w:p w:rsidR="006D1CE1" w:rsidRPr="00386DC4" w:rsidRDefault="00211537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49204,8</w:t>
            </w:r>
          </w:p>
        </w:tc>
      </w:tr>
    </w:tbl>
    <w:p w:rsidR="00D5598B" w:rsidRDefault="00D5598B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D5598B" w:rsidRDefault="00D5598B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221FF3" w:rsidRPr="00367AE1" w:rsidRDefault="005B47B7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Н</w:t>
      </w:r>
      <w:r w:rsidR="00AD3108" w:rsidRPr="00367AE1">
        <w:rPr>
          <w:rFonts w:eastAsia="Calibri"/>
          <w:color w:val="000000"/>
          <w:kern w:val="0"/>
          <w:sz w:val="28"/>
          <w:szCs w:val="28"/>
          <w:lang w:eastAsia="en-US"/>
        </w:rPr>
        <w:t>ачальник</w:t>
      </w:r>
      <w:bookmarkEnd w:id="1"/>
      <w:bookmarkEnd w:id="2"/>
      <w:bookmarkEnd w:id="3"/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AD3108" w:rsidRPr="00367AE1">
        <w:rPr>
          <w:rFonts w:eastAsia="Calibri"/>
          <w:color w:val="000000"/>
          <w:kern w:val="0"/>
          <w:sz w:val="28"/>
          <w:szCs w:val="28"/>
          <w:lang w:eastAsia="en-US"/>
        </w:rPr>
        <w:t>отдела ЖКХ,</w:t>
      </w:r>
      <w:r w:rsidR="00AD3108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транспорта, </w:t>
      </w:r>
    </w:p>
    <w:p w:rsidR="00221FF3" w:rsidRPr="00367AE1" w:rsidRDefault="00AD3108">
      <w:pPr>
        <w:widowControl/>
        <w:suppressAutoHyphens w:val="0"/>
        <w:autoSpaceDE/>
        <w:jc w:val="both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B06C8D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                 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F611A7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</w:t>
      </w:r>
      <w:r w:rsidR="005B47B7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М.М. Бондарь </w:t>
      </w:r>
      <w:r w:rsidR="00B42A63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sectPr w:rsidR="00221FF3" w:rsidRPr="00367AE1" w:rsidSect="008F7D39">
      <w:headerReference w:type="default" r:id="rId10"/>
      <w:pgSz w:w="11906" w:h="16838"/>
      <w:pgMar w:top="142" w:right="566" w:bottom="142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08" w:rsidRDefault="00AD3108">
      <w:r>
        <w:separator/>
      </w:r>
    </w:p>
  </w:endnote>
  <w:endnote w:type="continuationSeparator" w:id="0">
    <w:p w:rsidR="00AD3108" w:rsidRDefault="00AD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08" w:rsidRDefault="00AD3108">
      <w:r>
        <w:separator/>
      </w:r>
    </w:p>
  </w:footnote>
  <w:footnote w:type="continuationSeparator" w:id="0">
    <w:p w:rsidR="00AD3108" w:rsidRDefault="00AD3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F3" w:rsidRDefault="00AD310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20C1D">
      <w:rPr>
        <w:noProof/>
      </w:rPr>
      <w:t>4</w:t>
    </w:r>
    <w:r>
      <w:fldChar w:fldCharType="end"/>
    </w:r>
  </w:p>
  <w:p w:rsidR="00221FF3" w:rsidRDefault="00221FF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F3"/>
    <w:rsid w:val="00026987"/>
    <w:rsid w:val="000300DC"/>
    <w:rsid w:val="00043905"/>
    <w:rsid w:val="00065E42"/>
    <w:rsid w:val="00071E66"/>
    <w:rsid w:val="00092B9E"/>
    <w:rsid w:val="000C4EDA"/>
    <w:rsid w:val="000D3845"/>
    <w:rsid w:val="000F5AF0"/>
    <w:rsid w:val="000F7F3C"/>
    <w:rsid w:val="00105A83"/>
    <w:rsid w:val="00120C1D"/>
    <w:rsid w:val="00133B5B"/>
    <w:rsid w:val="00145235"/>
    <w:rsid w:val="00162641"/>
    <w:rsid w:val="00175F12"/>
    <w:rsid w:val="0019252E"/>
    <w:rsid w:val="00202278"/>
    <w:rsid w:val="00211537"/>
    <w:rsid w:val="00216400"/>
    <w:rsid w:val="00221FF3"/>
    <w:rsid w:val="00263BE6"/>
    <w:rsid w:val="002712C0"/>
    <w:rsid w:val="002717B3"/>
    <w:rsid w:val="00281C99"/>
    <w:rsid w:val="00287F0A"/>
    <w:rsid w:val="002A5220"/>
    <w:rsid w:val="002C766C"/>
    <w:rsid w:val="002D166D"/>
    <w:rsid w:val="002E3D67"/>
    <w:rsid w:val="002F5DE3"/>
    <w:rsid w:val="00300E6A"/>
    <w:rsid w:val="0030191B"/>
    <w:rsid w:val="00304AD7"/>
    <w:rsid w:val="00340C16"/>
    <w:rsid w:val="00353A16"/>
    <w:rsid w:val="00367AE1"/>
    <w:rsid w:val="00375BC0"/>
    <w:rsid w:val="00385330"/>
    <w:rsid w:val="00386683"/>
    <w:rsid w:val="00386DC4"/>
    <w:rsid w:val="003A7F1B"/>
    <w:rsid w:val="003B56E8"/>
    <w:rsid w:val="003F4323"/>
    <w:rsid w:val="004119C0"/>
    <w:rsid w:val="0041703A"/>
    <w:rsid w:val="004B556E"/>
    <w:rsid w:val="004B57AB"/>
    <w:rsid w:val="004D0578"/>
    <w:rsid w:val="004D07C4"/>
    <w:rsid w:val="004D2AEC"/>
    <w:rsid w:val="00512E69"/>
    <w:rsid w:val="0051734F"/>
    <w:rsid w:val="005202BA"/>
    <w:rsid w:val="00523619"/>
    <w:rsid w:val="00525F78"/>
    <w:rsid w:val="00544CDE"/>
    <w:rsid w:val="005B47B7"/>
    <w:rsid w:val="005C2E0F"/>
    <w:rsid w:val="005E30B5"/>
    <w:rsid w:val="005F7DCA"/>
    <w:rsid w:val="00610156"/>
    <w:rsid w:val="00614AFB"/>
    <w:rsid w:val="00652F00"/>
    <w:rsid w:val="0066502D"/>
    <w:rsid w:val="00676DEA"/>
    <w:rsid w:val="006836BF"/>
    <w:rsid w:val="00686046"/>
    <w:rsid w:val="00693A87"/>
    <w:rsid w:val="006D1CE1"/>
    <w:rsid w:val="006D5508"/>
    <w:rsid w:val="006E554C"/>
    <w:rsid w:val="006F399B"/>
    <w:rsid w:val="006F6E43"/>
    <w:rsid w:val="00710F40"/>
    <w:rsid w:val="007146D1"/>
    <w:rsid w:val="007328B2"/>
    <w:rsid w:val="00747862"/>
    <w:rsid w:val="00766F19"/>
    <w:rsid w:val="00772D3D"/>
    <w:rsid w:val="00780BDC"/>
    <w:rsid w:val="00793D35"/>
    <w:rsid w:val="00797F46"/>
    <w:rsid w:val="007B17A1"/>
    <w:rsid w:val="007C5FDD"/>
    <w:rsid w:val="007D35F3"/>
    <w:rsid w:val="007F0DC5"/>
    <w:rsid w:val="00800D20"/>
    <w:rsid w:val="00807F13"/>
    <w:rsid w:val="00841E88"/>
    <w:rsid w:val="00874932"/>
    <w:rsid w:val="00882FA0"/>
    <w:rsid w:val="008E3332"/>
    <w:rsid w:val="008E7003"/>
    <w:rsid w:val="009119D0"/>
    <w:rsid w:val="00911F45"/>
    <w:rsid w:val="00955BFF"/>
    <w:rsid w:val="00974ACD"/>
    <w:rsid w:val="0099014A"/>
    <w:rsid w:val="00993438"/>
    <w:rsid w:val="009B73A5"/>
    <w:rsid w:val="009D2242"/>
    <w:rsid w:val="009F5949"/>
    <w:rsid w:val="00A125C2"/>
    <w:rsid w:val="00A2758F"/>
    <w:rsid w:val="00A369B3"/>
    <w:rsid w:val="00AB0329"/>
    <w:rsid w:val="00AB128D"/>
    <w:rsid w:val="00AD3108"/>
    <w:rsid w:val="00AF3F71"/>
    <w:rsid w:val="00B00902"/>
    <w:rsid w:val="00B03D72"/>
    <w:rsid w:val="00B06C8D"/>
    <w:rsid w:val="00B11160"/>
    <w:rsid w:val="00B2532A"/>
    <w:rsid w:val="00B263BE"/>
    <w:rsid w:val="00B42A63"/>
    <w:rsid w:val="00B52346"/>
    <w:rsid w:val="00B537F2"/>
    <w:rsid w:val="00B57BE4"/>
    <w:rsid w:val="00B67FFA"/>
    <w:rsid w:val="00B72E20"/>
    <w:rsid w:val="00B904A3"/>
    <w:rsid w:val="00B91293"/>
    <w:rsid w:val="00B91A5D"/>
    <w:rsid w:val="00BA59E4"/>
    <w:rsid w:val="00BB4F0D"/>
    <w:rsid w:val="00BB56EF"/>
    <w:rsid w:val="00BC5FAE"/>
    <w:rsid w:val="00BE38A9"/>
    <w:rsid w:val="00C05B64"/>
    <w:rsid w:val="00C12CED"/>
    <w:rsid w:val="00C16FEB"/>
    <w:rsid w:val="00C37E4A"/>
    <w:rsid w:val="00C522B0"/>
    <w:rsid w:val="00C54B70"/>
    <w:rsid w:val="00C6305F"/>
    <w:rsid w:val="00C77FEC"/>
    <w:rsid w:val="00C87419"/>
    <w:rsid w:val="00CB7D5D"/>
    <w:rsid w:val="00CC6F8E"/>
    <w:rsid w:val="00CD10F2"/>
    <w:rsid w:val="00CE57ED"/>
    <w:rsid w:val="00D054C0"/>
    <w:rsid w:val="00D34477"/>
    <w:rsid w:val="00D417CC"/>
    <w:rsid w:val="00D556DA"/>
    <w:rsid w:val="00D5598B"/>
    <w:rsid w:val="00D56BAF"/>
    <w:rsid w:val="00D62B7E"/>
    <w:rsid w:val="00D8058A"/>
    <w:rsid w:val="00D924BA"/>
    <w:rsid w:val="00D97F5E"/>
    <w:rsid w:val="00DA10B3"/>
    <w:rsid w:val="00DB2529"/>
    <w:rsid w:val="00DC65DA"/>
    <w:rsid w:val="00DD4CA8"/>
    <w:rsid w:val="00DE7A76"/>
    <w:rsid w:val="00DF7903"/>
    <w:rsid w:val="00E005F8"/>
    <w:rsid w:val="00E270B9"/>
    <w:rsid w:val="00E31D0B"/>
    <w:rsid w:val="00E634EF"/>
    <w:rsid w:val="00E96E84"/>
    <w:rsid w:val="00EA17CB"/>
    <w:rsid w:val="00EC0187"/>
    <w:rsid w:val="00EC26CB"/>
    <w:rsid w:val="00EC731B"/>
    <w:rsid w:val="00ED4627"/>
    <w:rsid w:val="00EE484B"/>
    <w:rsid w:val="00F12BFD"/>
    <w:rsid w:val="00F151C6"/>
    <w:rsid w:val="00F306F7"/>
    <w:rsid w:val="00F55877"/>
    <w:rsid w:val="00F611A7"/>
    <w:rsid w:val="00F65880"/>
    <w:rsid w:val="00F70E23"/>
    <w:rsid w:val="00F74096"/>
    <w:rsid w:val="00F7488F"/>
    <w:rsid w:val="00FE43C5"/>
    <w:rsid w:val="00FE5EE4"/>
    <w:rsid w:val="00FF110D"/>
    <w:rsid w:val="1BA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1830-4593-4137-8D6E-6E65DEA7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2</cp:revision>
  <cp:lastPrinted>2024-01-29T05:49:00Z</cp:lastPrinted>
  <dcterms:created xsi:type="dcterms:W3CDTF">2024-02-06T07:54:00Z</dcterms:created>
  <dcterms:modified xsi:type="dcterms:W3CDTF">2024-02-06T07:54:00Z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