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613F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05.11.2014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613F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3962" w:rsidRPr="00983CC0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</w:p>
    <w:p w:rsidR="0063774A" w:rsidRPr="00983CC0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3CC0" w:rsidRPr="00983CC0">
        <w:rPr>
          <w:rFonts w:ascii="Times New Roman" w:hAnsi="Times New Roman" w:cs="Times New Roman"/>
          <w:bCs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</w:t>
      </w:r>
      <w:r w:rsidR="002A33EB" w:rsidRPr="00983CC0">
        <w:rPr>
          <w:rFonts w:ascii="Times New Roman" w:hAnsi="Times New Roman" w:cs="Times New Roman"/>
          <w:sz w:val="28"/>
          <w:szCs w:val="28"/>
        </w:rPr>
        <w:t>»</w:t>
      </w:r>
      <w:r w:rsidR="002A33EB"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9759D"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3774A" w:rsidRPr="00983CC0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983CC0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43962" w:rsidRPr="00983CC0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983CC0" w:rsidRPr="00983CC0">
        <w:rPr>
          <w:rFonts w:ascii="Times New Roman" w:hAnsi="Times New Roman" w:cs="Times New Roman"/>
          <w:bCs/>
          <w:sz w:val="28"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</w:t>
      </w:r>
      <w:r w:rsidR="0063774A"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3774A" w:rsidRPr="00983CC0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</w:t>
      </w:r>
    </w:p>
    <w:p w:rsidR="002A33EB" w:rsidRPr="00DC019C" w:rsidRDefault="002A33EB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C9759D" w:rsidP="00983CC0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программа «</w:t>
            </w:r>
            <w:r w:rsidR="00983CC0" w:rsidRPr="00983CC0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D4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</w:tc>
      </w:tr>
      <w:tr w:rsidR="0063774A" w:rsidRPr="00DC019C" w:rsidTr="000A2CB8">
        <w:trPr>
          <w:trHeight w:val="90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A954DE" w:rsidRPr="00DC019C" w:rsidRDefault="005C137D" w:rsidP="005C137D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19 мая 1995 года                   № 82-ФЗ «Об общественных объединениях»; Федеральный закон от 25 июля 2002 года                       № 114-ФЗ «О противодействии экстремистской деятельности»</w:t>
            </w:r>
          </w:p>
        </w:tc>
      </w:tr>
      <w:tr w:rsidR="0063774A" w:rsidRPr="00DC019C" w:rsidTr="000A2CB8">
        <w:trPr>
          <w:trHeight w:val="984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DC019C" w:rsidTr="00A954DE">
        <w:trPr>
          <w:trHeight w:val="1276"/>
        </w:trPr>
        <w:tc>
          <w:tcPr>
            <w:tcW w:w="2977" w:type="dxa"/>
          </w:tcPr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DC019C" w:rsidRDefault="002A33EB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DC019C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DC019C" w:rsidRDefault="00BF2DF4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DC019C" w:rsidRDefault="00BF2DF4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DC019C" w:rsidTr="000A2CB8">
        <w:trPr>
          <w:trHeight w:val="1606"/>
        </w:trPr>
        <w:tc>
          <w:tcPr>
            <w:tcW w:w="2977" w:type="dxa"/>
            <w:shd w:val="clear" w:color="auto" w:fill="FFFFFF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5C137D" w:rsidRDefault="005C137D" w:rsidP="005C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борьбы с терроризмом в поселении путем обучения граждан поселения мерам противодействия терроризму; </w:t>
            </w:r>
          </w:p>
          <w:p w:rsidR="005C137D" w:rsidRDefault="005C137D" w:rsidP="005C137D">
            <w:pPr>
              <w:pStyle w:val="21"/>
            </w:pPr>
            <w:r>
              <w:t xml:space="preserve">- создание системы комплексных мер по укреплению антитеррористической защищенности населения поселения; </w:t>
            </w:r>
          </w:p>
          <w:p w:rsidR="005C137D" w:rsidRDefault="005C137D" w:rsidP="005C1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профилактика и противодействие распространению среди населения, в том числе в молодежной среде экстремистских идей и учений, связанных с религиозными, политическими и национальными факторами через реализацию комплексной системы мер превентивного характера.</w:t>
            </w:r>
          </w:p>
          <w:p w:rsidR="005C137D" w:rsidRDefault="005C137D" w:rsidP="005C137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стабильности - конфессиональных отношений, содействие обеспечению национальной безопасности в сфере духовной жизни общества в целом и молодежи в частности.</w:t>
            </w:r>
          </w:p>
          <w:p w:rsidR="0063774A" w:rsidRPr="00DC019C" w:rsidRDefault="0063774A" w:rsidP="00DC019C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3120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5C137D" w:rsidRDefault="005C137D" w:rsidP="005C1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в поселении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знаний;</w:t>
            </w:r>
          </w:p>
          <w:p w:rsidR="005C137D" w:rsidRDefault="005C137D" w:rsidP="005C137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базы данных по новым и нетрадиционным религиозным культам и движениям, политически активным молодежным неформальным объединениям</w:t>
            </w:r>
          </w:p>
          <w:p w:rsidR="005C137D" w:rsidRDefault="005C137D" w:rsidP="005C137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опирающихся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идеологию фашизма,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этноцентризма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ксенофобии;</w:t>
            </w:r>
          </w:p>
          <w:p w:rsidR="005C137D" w:rsidRDefault="005C137D" w:rsidP="005C137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информационно - профилактических мероприятий, направленных на профилактику экстремистской деятельности в молодежной среде поселения;</w:t>
            </w:r>
          </w:p>
          <w:p w:rsidR="0063774A" w:rsidRPr="00DC019C" w:rsidRDefault="005C137D" w:rsidP="005C137D">
            <w:pPr>
              <w:tabs>
                <w:tab w:val="left" w:pos="378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социологических исследований в молодежной среде в сфере межнациональных и межконфессиональных отношений.</w:t>
            </w:r>
          </w:p>
        </w:tc>
      </w:tr>
      <w:tr w:rsidR="0063774A" w:rsidRPr="00DC019C" w:rsidTr="00F95B35">
        <w:trPr>
          <w:trHeight w:val="481"/>
        </w:trPr>
        <w:tc>
          <w:tcPr>
            <w:tcW w:w="2977" w:type="dxa"/>
          </w:tcPr>
          <w:p w:rsidR="0063774A" w:rsidRPr="00DC019C" w:rsidRDefault="0063774A" w:rsidP="00F95B35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6770" w:type="dxa"/>
          </w:tcPr>
          <w:p w:rsidR="0063774A" w:rsidRPr="00DC019C" w:rsidRDefault="0063774A" w:rsidP="00DC019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</w:p>
        </w:tc>
      </w:tr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63774A" w:rsidP="00F9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</w:t>
            </w:r>
            <w:r w:rsidR="00F646E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составляет </w:t>
            </w:r>
            <w:r w:rsidR="00750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 w:rsidRPr="00DC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63774A" w:rsidRPr="00DC019C" w:rsidTr="001529F6">
        <w:trPr>
          <w:trHeight w:val="99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7E3715" w:rsidRDefault="007E3715" w:rsidP="007E3715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7E3715">
              <w:rPr>
                <w:rFonts w:eastAsia="Times New Roman"/>
                <w:lang w:eastAsia="ru-RU"/>
              </w:rPr>
              <w:t>- обеспечение безопасного функционирования потенциально опасных объектов;</w:t>
            </w:r>
          </w:p>
          <w:p w:rsidR="007E3715" w:rsidRDefault="007E3715" w:rsidP="007E3715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7E3715">
              <w:rPr>
                <w:rFonts w:eastAsia="Times New Roman"/>
                <w:lang w:eastAsia="ru-RU"/>
              </w:rPr>
              <w:t xml:space="preserve">- повышение </w:t>
            </w:r>
            <w:proofErr w:type="gramStart"/>
            <w:r w:rsidRPr="007E3715">
              <w:rPr>
                <w:rFonts w:eastAsia="Times New Roman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7E3715">
              <w:rPr>
                <w:rFonts w:eastAsia="Times New Roman"/>
                <w:lang w:eastAsia="ru-RU"/>
              </w:rPr>
              <w:t>;</w:t>
            </w:r>
          </w:p>
          <w:p w:rsidR="007E3715" w:rsidRDefault="007E3715" w:rsidP="007E3715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7E3715">
              <w:rPr>
                <w:rFonts w:eastAsia="Times New Roman"/>
                <w:lang w:eastAsia="ru-RU"/>
              </w:rPr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 конфессиональных сообществ;</w:t>
            </w:r>
          </w:p>
          <w:p w:rsidR="001529F6" w:rsidRDefault="007E3715" w:rsidP="001529F6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7E3715">
              <w:rPr>
                <w:rFonts w:eastAsia="Times New Roman"/>
                <w:lang w:eastAsia="ru-RU"/>
              </w:rPr>
              <w:t xml:space="preserve">- гармонизация межнациональных отношений, повышения уровня </w:t>
            </w:r>
            <w:proofErr w:type="spellStart"/>
            <w:r w:rsidRPr="007E3715">
              <w:rPr>
                <w:rFonts w:eastAsia="Times New Roman"/>
                <w:lang w:eastAsia="ru-RU"/>
              </w:rPr>
              <w:t>этносоциальной</w:t>
            </w:r>
            <w:proofErr w:type="spellEnd"/>
            <w:r w:rsidRPr="007E3715">
              <w:rPr>
                <w:rFonts w:eastAsia="Times New Roman"/>
                <w:lang w:eastAsia="ru-RU"/>
              </w:rPr>
              <w:t xml:space="preserve"> комфортности;</w:t>
            </w:r>
            <w:r w:rsidR="001529F6">
              <w:rPr>
                <w:rFonts w:eastAsia="Times New Roman"/>
                <w:lang w:eastAsia="ru-RU"/>
              </w:rPr>
              <w:t xml:space="preserve"> </w:t>
            </w:r>
          </w:p>
          <w:p w:rsidR="0063774A" w:rsidRPr="007E3715" w:rsidRDefault="007E3715" w:rsidP="001529F6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7E3715">
              <w:rPr>
                <w:rFonts w:eastAsia="Times New Roman"/>
                <w:lang w:eastAsia="ru-RU"/>
              </w:rPr>
              <w:t>- повышение степени информирования населения о мерах, принимаемых органами местного самоуправления в сфере противодействия терроризму и экстремизму.</w:t>
            </w:r>
          </w:p>
        </w:tc>
      </w:tr>
    </w:tbl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 Содержание, проблемы и обоснование необходимости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DD68D3" w:rsidRPr="00DC019C" w:rsidRDefault="00DD68D3" w:rsidP="00DC01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E6F">
        <w:rPr>
          <w:rFonts w:ascii="Times New Roman" w:hAnsi="Times New Roman" w:cs="Times New Roman"/>
          <w:sz w:val="28"/>
          <w:szCs w:val="28"/>
        </w:rPr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 w:rsidRPr="00192E6F">
        <w:rPr>
          <w:rFonts w:ascii="Times New Roman" w:hAnsi="Times New Roman" w:cs="Times New Roman"/>
          <w:sz w:val="28"/>
          <w:szCs w:val="28"/>
        </w:rPr>
        <w:t>, национальной и религиозной розни.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Федеральный закон «О противодействии терроризму»,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органов местного самоуправления.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В Федеральном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предусматривается осуществление комплекса профилактических мер по предупреждению действий экстремистского характера.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 xml:space="preserve"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</w:t>
      </w:r>
      <w:r w:rsidRPr="00192E6F">
        <w:rPr>
          <w:rFonts w:ascii="Times New Roman" w:hAnsi="Times New Roman" w:cs="Times New Roman"/>
          <w:sz w:val="28"/>
          <w:szCs w:val="28"/>
        </w:rPr>
        <w:lastRenderedPageBreak/>
        <w:t>атрибутики или символики, сходных с нацистской атрибутикой или символикой до степени смешения.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6D6E67" w:rsidRPr="00192E6F" w:rsidRDefault="006D6E67" w:rsidP="00DD0BA8">
      <w:pPr>
        <w:pStyle w:val="2"/>
        <w:tabs>
          <w:tab w:val="clear" w:pos="900"/>
          <w:tab w:val="clear" w:pos="3780"/>
        </w:tabs>
      </w:pPr>
      <w:r w:rsidRPr="00192E6F">
        <w:t>Программа носит межведомственный характер, поскольку проблема профилактики правонарушений, терроризма и проявлений экстремизма затрагивает сферу деятельности многих органов исполнительной власти и органов местного самоуправления.</w:t>
      </w:r>
    </w:p>
    <w:p w:rsidR="006D6E67" w:rsidRPr="00192E6F" w:rsidRDefault="006D6E67" w:rsidP="00DD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6F">
        <w:rPr>
          <w:rFonts w:ascii="Times New Roman" w:hAnsi="Times New Roman" w:cs="Times New Roman"/>
          <w:sz w:val="28"/>
          <w:szCs w:val="28"/>
        </w:rPr>
        <w:t>Комплексный подход является обязательным условием реализации Программы и обоснован тем, что достижение положительной динамики в указанной сфере возможно только при наличии эффективной системы обеспечения безопасности поселения.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840" w:rsidRPr="00DC019C" w:rsidRDefault="00BA3840" w:rsidP="00192E6F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6D6E67" w:rsidRDefault="006D6E67" w:rsidP="00192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борьбы с терроризмом в поселении путем обучения граждан поселения мерам противодействия терроризму; </w:t>
      </w:r>
    </w:p>
    <w:p w:rsidR="006D6E67" w:rsidRDefault="006D6E67" w:rsidP="00192E6F">
      <w:pPr>
        <w:pStyle w:val="21"/>
        <w:ind w:firstLine="720"/>
        <w:jc w:val="both"/>
      </w:pPr>
      <w:r>
        <w:t xml:space="preserve">- создание системы комплексных мер по укреплению антитеррористической защищенности населения поселения; </w:t>
      </w:r>
    </w:p>
    <w:p w:rsidR="006D6E67" w:rsidRDefault="006D6E67" w:rsidP="00192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противодействие распространению среди населения, в том числе в молодежной среде экстремистских идей и учений, связанных с религиозными, политическими и национальными факторами через реализацию комплексной системы мер превентивного характера.</w:t>
      </w:r>
    </w:p>
    <w:p w:rsidR="006D6E67" w:rsidRDefault="006D6E67" w:rsidP="00192E6F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стабильности - конфессиональных отношений, содействие обеспечению национальной безопасности в сфере духовной жизни общества в целом и молодежи в частности.</w:t>
      </w:r>
    </w:p>
    <w:p w:rsidR="006D6E67" w:rsidRDefault="006D6E67" w:rsidP="00192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6D6E67" w:rsidRDefault="006D6E67" w:rsidP="00192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поселении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знаний;</w:t>
      </w:r>
    </w:p>
    <w:p w:rsidR="006D6E67" w:rsidRDefault="006D6E67" w:rsidP="00192E6F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базы данных по новым и нетрадиционным религиозным культам и движениям, политически активным молодежным неформальным объединениям</w:t>
      </w:r>
    </w:p>
    <w:p w:rsidR="006D6E67" w:rsidRDefault="006D6E67" w:rsidP="00192E6F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опирающихся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идеологию фашизма,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ксенофобии;</w:t>
      </w:r>
    </w:p>
    <w:p w:rsidR="006D6E67" w:rsidRDefault="006D6E67" w:rsidP="00192E6F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информационно - профилактических мероприятий, направленных на профилактику экстремистской деятельности в молодежной среде поселения;</w:t>
      </w:r>
    </w:p>
    <w:p w:rsidR="006D6E67" w:rsidRDefault="006D6E67" w:rsidP="00192E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социологических исследований в молодежной среде в сфере межнациональных и межконфессиональных отношений.</w:t>
      </w:r>
    </w:p>
    <w:p w:rsidR="006D6E67" w:rsidRDefault="006D6E67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sz w:val="28"/>
          <w:szCs w:val="28"/>
        </w:rPr>
      </w:pPr>
    </w:p>
    <w:p w:rsidR="00873F25" w:rsidRPr="00DC019C" w:rsidRDefault="00873F25" w:rsidP="00723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Сроки и этапы реализации Программы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DC019C" w:rsidRDefault="00873F25" w:rsidP="00DC019C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C26DA0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B20A4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400"/>
      <w:r w:rsidRPr="008B20A4">
        <w:rPr>
          <w:rFonts w:ascii="Times New Roman" w:hAnsi="Times New Roman" w:cs="Times New Roman"/>
          <w:bCs/>
          <w:sz w:val="28"/>
          <w:szCs w:val="28"/>
        </w:rPr>
        <w:t>4. Перечень основных мероприятий Программы</w:t>
      </w:r>
    </w:p>
    <w:bookmarkEnd w:id="1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548"/>
        <w:gridCol w:w="2420"/>
      </w:tblGrid>
      <w:tr w:rsidR="00C26DA0" w:rsidRPr="00DC019C" w:rsidTr="00A35B6B">
        <w:trPr>
          <w:trHeight w:val="10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C26DA0" w:rsidRPr="00DC019C" w:rsidRDefault="00C26DA0" w:rsidP="00DC01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 2015 г</w:t>
            </w:r>
            <w:r w:rsidR="001645A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DA0" w:rsidRPr="00DC019C" w:rsidTr="00A35B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DD0BA8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96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баннеров, </w:t>
            </w:r>
            <w:proofErr w:type="spellStart"/>
            <w:r w:rsidRPr="00FD296F"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 w:rsidRPr="00FD296F">
              <w:rPr>
                <w:rFonts w:ascii="Times New Roman" w:hAnsi="Times New Roman" w:cs="Times New Roman"/>
                <w:sz w:val="28"/>
                <w:szCs w:val="28"/>
              </w:rPr>
              <w:t>, листовок плакатов, брошюр, методических материалов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DD0BA8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</w:tbl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DC019C" w:rsidRDefault="0072302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DC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512975" w:rsidRDefault="00830AC9" w:rsidP="00512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700"/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975" w:rsidRPr="00512975" w:rsidRDefault="00512975" w:rsidP="00512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стимулировать и поддерживать гражданские инициативы правоохранительной направленности.</w:t>
      </w: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 для деятельности добровольных формирований населения по охране общественного порядка.</w:t>
      </w: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 сельского</w:t>
      </w:r>
      <w:r w:rsidR="0072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спокойствия и безопасности.</w:t>
      </w:r>
    </w:p>
    <w:p w:rsidR="00512975" w:rsidRPr="00512975" w:rsidRDefault="00512975" w:rsidP="0051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9B4DDE" w:rsidRPr="00DC019C" w:rsidRDefault="009B4DDE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1645A1" w:rsidRDefault="0072302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30AC9" w:rsidRPr="001645A1">
        <w:rPr>
          <w:rFonts w:ascii="Times New Roman" w:hAnsi="Times New Roman" w:cs="Times New Roman"/>
          <w:bCs/>
          <w:sz w:val="28"/>
          <w:szCs w:val="28"/>
        </w:rPr>
        <w:t>. Критерии выполнения Программы</w:t>
      </w:r>
    </w:p>
    <w:bookmarkEnd w:id="3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Критериями выполнения Программы является: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развитие органов территориального общественного самоуправления Новотитаровского сельского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решения социально-экономических проблем поселения при активном участии органов ТОС и жителей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оказание реальных социально-бытовых услуг, вовлечение жителей поселения в управление сельским поселением;</w:t>
      </w:r>
    </w:p>
    <w:p w:rsidR="00830AC9" w:rsidRPr="00DC019C" w:rsidRDefault="002C4EA1" w:rsidP="00DC019C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</w:pPr>
      <w:r w:rsidRPr="00DC019C">
        <w:lastRenderedPageBreak/>
        <w:t>- развитие механизмов сотрудничества органов ТОС и предприятий в решении проблем по месту жительства</w:t>
      </w:r>
      <w:r w:rsidR="00D101D7" w:rsidRPr="00DC019C">
        <w:t>.</w:t>
      </w:r>
    </w:p>
    <w:p w:rsidR="00D101D7" w:rsidRPr="00DC019C" w:rsidRDefault="00D101D7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sub_800"/>
    </w:p>
    <w:bookmarkEnd w:id="4"/>
    <w:p w:rsidR="0063774A" w:rsidRPr="00DC019C" w:rsidRDefault="00723029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6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DC019C" w:rsidSect="009B2F5F">
      <w:headerReference w:type="even" r:id="rId8"/>
      <w:headerReference w:type="default" r:id="rId9"/>
      <w:headerReference w:type="first" r:id="rId10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3E" w:rsidRDefault="007A703E">
      <w:pPr>
        <w:spacing w:after="0" w:line="240" w:lineRule="auto"/>
      </w:pPr>
      <w:r>
        <w:separator/>
      </w:r>
    </w:p>
  </w:endnote>
  <w:endnote w:type="continuationSeparator" w:id="0">
    <w:p w:rsidR="007A703E" w:rsidRDefault="007A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3E" w:rsidRDefault="007A703E">
      <w:pPr>
        <w:spacing w:after="0" w:line="240" w:lineRule="auto"/>
      </w:pPr>
      <w:r>
        <w:separator/>
      </w:r>
    </w:p>
  </w:footnote>
  <w:footnote w:type="continuationSeparator" w:id="0">
    <w:p w:rsidR="007A703E" w:rsidRDefault="007A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7A70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13F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610EB"/>
    <w:rsid w:val="00087050"/>
    <w:rsid w:val="000A2CB8"/>
    <w:rsid w:val="000C7899"/>
    <w:rsid w:val="001529F6"/>
    <w:rsid w:val="001645A1"/>
    <w:rsid w:val="00192E6F"/>
    <w:rsid w:val="001A4D93"/>
    <w:rsid w:val="001D3C9D"/>
    <w:rsid w:val="001E076F"/>
    <w:rsid w:val="00242696"/>
    <w:rsid w:val="0026613F"/>
    <w:rsid w:val="00270610"/>
    <w:rsid w:val="002A33EB"/>
    <w:rsid w:val="002A42ED"/>
    <w:rsid w:val="002C4EA1"/>
    <w:rsid w:val="003451C1"/>
    <w:rsid w:val="00374F9F"/>
    <w:rsid w:val="00396CB8"/>
    <w:rsid w:val="003B6C00"/>
    <w:rsid w:val="004716BD"/>
    <w:rsid w:val="0050754F"/>
    <w:rsid w:val="00507E02"/>
    <w:rsid w:val="00511C1A"/>
    <w:rsid w:val="00512975"/>
    <w:rsid w:val="00570672"/>
    <w:rsid w:val="005C137D"/>
    <w:rsid w:val="005F0DB9"/>
    <w:rsid w:val="005F157F"/>
    <w:rsid w:val="00604E4D"/>
    <w:rsid w:val="00616730"/>
    <w:rsid w:val="0063774A"/>
    <w:rsid w:val="0065259A"/>
    <w:rsid w:val="006D6E67"/>
    <w:rsid w:val="006E6C9D"/>
    <w:rsid w:val="006F32E8"/>
    <w:rsid w:val="00723029"/>
    <w:rsid w:val="0075074C"/>
    <w:rsid w:val="007619EC"/>
    <w:rsid w:val="00766DF8"/>
    <w:rsid w:val="007813AB"/>
    <w:rsid w:val="007A703E"/>
    <w:rsid w:val="007E3715"/>
    <w:rsid w:val="008044F1"/>
    <w:rsid w:val="00830AC9"/>
    <w:rsid w:val="0087175C"/>
    <w:rsid w:val="00873F25"/>
    <w:rsid w:val="008935DE"/>
    <w:rsid w:val="008B20A4"/>
    <w:rsid w:val="0090136E"/>
    <w:rsid w:val="009171A8"/>
    <w:rsid w:val="0094135F"/>
    <w:rsid w:val="009526FF"/>
    <w:rsid w:val="00983CC0"/>
    <w:rsid w:val="009B0664"/>
    <w:rsid w:val="009B2F5F"/>
    <w:rsid w:val="009B4DDE"/>
    <w:rsid w:val="009C0C81"/>
    <w:rsid w:val="009C655B"/>
    <w:rsid w:val="009D7E18"/>
    <w:rsid w:val="00A15B84"/>
    <w:rsid w:val="00A40DDB"/>
    <w:rsid w:val="00A65CC6"/>
    <w:rsid w:val="00A84CBE"/>
    <w:rsid w:val="00A954DE"/>
    <w:rsid w:val="00AC0BE8"/>
    <w:rsid w:val="00AF62BA"/>
    <w:rsid w:val="00B41438"/>
    <w:rsid w:val="00B46B8F"/>
    <w:rsid w:val="00BA3840"/>
    <w:rsid w:val="00BF2DF4"/>
    <w:rsid w:val="00C035EA"/>
    <w:rsid w:val="00C174B5"/>
    <w:rsid w:val="00C26DA0"/>
    <w:rsid w:val="00C85BB6"/>
    <w:rsid w:val="00C9759D"/>
    <w:rsid w:val="00CE3B7A"/>
    <w:rsid w:val="00CF5899"/>
    <w:rsid w:val="00D101D7"/>
    <w:rsid w:val="00D236DD"/>
    <w:rsid w:val="00D43962"/>
    <w:rsid w:val="00D478E0"/>
    <w:rsid w:val="00D51A9D"/>
    <w:rsid w:val="00D82CE3"/>
    <w:rsid w:val="00DB38AD"/>
    <w:rsid w:val="00DB52B4"/>
    <w:rsid w:val="00DB79C1"/>
    <w:rsid w:val="00DC019C"/>
    <w:rsid w:val="00DD0BA8"/>
    <w:rsid w:val="00DD68D3"/>
    <w:rsid w:val="00DE5AD7"/>
    <w:rsid w:val="00DF753A"/>
    <w:rsid w:val="00E40CB7"/>
    <w:rsid w:val="00E51DCA"/>
    <w:rsid w:val="00EB496F"/>
    <w:rsid w:val="00EC2B02"/>
    <w:rsid w:val="00ED2780"/>
    <w:rsid w:val="00EE0BAE"/>
    <w:rsid w:val="00F2510E"/>
    <w:rsid w:val="00F4484F"/>
    <w:rsid w:val="00F646EA"/>
    <w:rsid w:val="00F73EA0"/>
    <w:rsid w:val="00F95B35"/>
    <w:rsid w:val="00FE3829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  <w:style w:type="paragraph" w:customStyle="1" w:styleId="af0">
    <w:name w:val="Таблицы (моноширинный)"/>
    <w:basedOn w:val="a"/>
    <w:next w:val="a"/>
    <w:rsid w:val="005C137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5C13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C137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  <w:style w:type="paragraph" w:customStyle="1" w:styleId="af0">
    <w:name w:val="Таблицы (моноширинный)"/>
    <w:basedOn w:val="a"/>
    <w:next w:val="a"/>
    <w:rsid w:val="005C137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5C137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C137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DEF1-8092-4824-B016-3E7AE929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90</cp:revision>
  <cp:lastPrinted>2014-10-24T07:18:00Z</cp:lastPrinted>
  <dcterms:created xsi:type="dcterms:W3CDTF">2013-11-11T08:52:00Z</dcterms:created>
  <dcterms:modified xsi:type="dcterms:W3CDTF">2015-01-27T07:04:00Z</dcterms:modified>
</cp:coreProperties>
</file>