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31ECC" w14:textId="77777777" w:rsidR="000D061A" w:rsidRPr="000D061A" w:rsidRDefault="000D061A" w:rsidP="003150B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061A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4D236AA0" wp14:editId="62BE67CC">
            <wp:extent cx="502920" cy="617220"/>
            <wp:effectExtent l="0" t="0" r="0" b="0"/>
            <wp:docPr id="166520899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7D08" w14:textId="77777777" w:rsidR="000D061A" w:rsidRPr="000D061A" w:rsidRDefault="000D061A" w:rsidP="003150B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</w:pPr>
      <w:r w:rsidRPr="000D061A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48C67EBD" w14:textId="77777777" w:rsidR="000D061A" w:rsidRPr="000D061A" w:rsidRDefault="000D061A" w:rsidP="003150B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D061A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37FD686E" w14:textId="77777777" w:rsidR="003150B1" w:rsidRDefault="003150B1" w:rsidP="003150B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01F8E28B" w14:textId="77777777" w:rsidR="000D061A" w:rsidRPr="000D061A" w:rsidRDefault="000D061A" w:rsidP="003150B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 w:rsidRPr="000D061A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4417A5B8" w14:textId="71A0234C" w:rsidR="000D061A" w:rsidRPr="000D061A" w:rsidRDefault="000D061A" w:rsidP="003150B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ar-SA"/>
        </w:rPr>
      </w:pPr>
      <w:r w:rsidRPr="000D061A">
        <w:rPr>
          <w:rFonts w:ascii="Times New Roman" w:hAnsi="Times New Roman" w:cs="Times New Roman"/>
          <w:sz w:val="28"/>
          <w:szCs w:val="28"/>
        </w:rPr>
        <w:t>от 11.03.2024                                                                                               № 227</w:t>
      </w:r>
    </w:p>
    <w:p w14:paraId="5A3D58AA" w14:textId="77777777" w:rsidR="000D061A" w:rsidRPr="000D061A" w:rsidRDefault="000D061A" w:rsidP="003150B1">
      <w:pPr>
        <w:spacing w:after="0" w:line="240" w:lineRule="auto"/>
        <w:ind w:right="27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0D061A">
        <w:rPr>
          <w:rFonts w:ascii="Times New Roman" w:hAnsi="Times New Roman" w:cs="Times New Roman"/>
          <w:sz w:val="28"/>
          <w:szCs w:val="28"/>
        </w:rPr>
        <w:t>с</w:t>
      </w:r>
      <w:r w:rsidRPr="000D061A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2A461A71" w14:textId="77777777" w:rsidR="00D83196" w:rsidRDefault="00D83196" w:rsidP="002A6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0407E" w14:textId="77777777" w:rsidR="003150B1" w:rsidRPr="002A6D4B" w:rsidRDefault="003150B1" w:rsidP="002A6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125D5" w14:textId="77777777" w:rsidR="002A6D4B" w:rsidRPr="002A6D4B" w:rsidRDefault="002A6D4B" w:rsidP="002A6D4B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A6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об организации уличного освещения </w:t>
      </w:r>
    </w:p>
    <w:p w14:paraId="35C552D7" w14:textId="77777777" w:rsidR="002A6D4B" w:rsidRPr="002A6D4B" w:rsidRDefault="002A6D4B" w:rsidP="002A6D4B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Н</w:t>
      </w:r>
      <w:r w:rsidR="00BA4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овотитаровского</w:t>
      </w:r>
      <w:r w:rsidRPr="002A6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6E07E29C" w14:textId="77777777" w:rsidR="002A6D4B" w:rsidRPr="00D83196" w:rsidRDefault="002A6D4B" w:rsidP="00D83196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Динского района</w:t>
      </w:r>
    </w:p>
    <w:bookmarkEnd w:id="0"/>
    <w:p w14:paraId="3F8D7914" w14:textId="77777777" w:rsidR="002A6D4B" w:rsidRPr="002A6D4B" w:rsidRDefault="002A6D4B" w:rsidP="002A6D4B">
      <w:pPr>
        <w:shd w:val="clear" w:color="auto" w:fill="FFFFFF"/>
        <w:tabs>
          <w:tab w:val="left" w:pos="5245"/>
          <w:tab w:val="left" w:pos="7371"/>
        </w:tabs>
        <w:spacing w:after="0" w:line="240" w:lineRule="auto"/>
        <w:ind w:righ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AB83A" w14:textId="77777777" w:rsidR="002A6D4B" w:rsidRPr="002A6D4B" w:rsidRDefault="002A6D4B" w:rsidP="002A6D4B">
      <w:pPr>
        <w:shd w:val="clear" w:color="auto" w:fill="FFFFFF"/>
        <w:tabs>
          <w:tab w:val="left" w:pos="5245"/>
          <w:tab w:val="left" w:pos="7371"/>
        </w:tabs>
        <w:spacing w:after="0" w:line="240" w:lineRule="auto"/>
        <w:ind w:right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A593E" w14:textId="77777777" w:rsidR="002A6D4B" w:rsidRPr="002A6D4B" w:rsidRDefault="002A6D4B" w:rsidP="002A6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Pr="002A6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6 октября 2003 г.                         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местного самоуправления в Российской Федерации», Федеральным законом от 23 ноября 2009 г. № 261-ФЗ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E8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59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Новотитаровского сельского поселения Динского 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</w:t>
      </w:r>
      <w:proofErr w:type="gramStart"/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</w:t>
      </w:r>
      <w:r w:rsidRPr="002A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1AE8701" w14:textId="77777777" w:rsidR="002A6D4B" w:rsidRPr="002A6D4B" w:rsidRDefault="002A6D4B" w:rsidP="002A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организации уличного освещения на территории </w:t>
      </w:r>
      <w:r w:rsidR="00F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(прилагается).</w:t>
      </w:r>
    </w:p>
    <w:p w14:paraId="1F7DDEEC" w14:textId="77777777" w:rsidR="002A6D4B" w:rsidRPr="002A6D4B" w:rsidRDefault="002A6D4B" w:rsidP="002A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8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E8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малого и среднего бизнеса </w:t>
      </w:r>
      <w:r w:rsidR="00F84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Pr="002A6D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86623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(Бондарь)</w:t>
      </w:r>
      <w:r w:rsidR="00E86623" w:rsidRPr="002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в установленном порядке, разместить на официальном сайте </w:t>
      </w:r>
      <w:r w:rsidR="00F84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сети «Интернет» и</w:t>
      </w:r>
      <w:r w:rsidRPr="002A6D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руководствоваться настоящим постановлением в работе.</w:t>
      </w:r>
    </w:p>
    <w:p w14:paraId="3ADDC7FF" w14:textId="77777777" w:rsidR="002A6D4B" w:rsidRPr="002A6D4B" w:rsidRDefault="002A6D4B" w:rsidP="002A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A6D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2A6D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r w:rsidR="00BA4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Новотитаровского</w:t>
      </w:r>
      <w:r w:rsidRPr="002A6D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BA4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Г.Н. Черныш</w:t>
      </w:r>
      <w:r w:rsidRPr="002A6D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94E5E52" w14:textId="77777777" w:rsidR="002A6D4B" w:rsidRPr="002A6D4B" w:rsidRDefault="002A6D4B" w:rsidP="002A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A6D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14:paraId="7E856413" w14:textId="77777777" w:rsidR="002A6D4B" w:rsidRPr="002A6D4B" w:rsidRDefault="002A6D4B" w:rsidP="002A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D2982" w14:textId="77777777" w:rsidR="002A6D4B" w:rsidRDefault="002A6D4B" w:rsidP="002A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C139D" w14:textId="77777777" w:rsidR="003150B1" w:rsidRPr="002A6D4B" w:rsidRDefault="003150B1" w:rsidP="002A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DEB31" w14:textId="77777777" w:rsidR="002A6D4B" w:rsidRPr="002A6D4B" w:rsidRDefault="002A6D4B" w:rsidP="002A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749549" w14:textId="7A6EE97F" w:rsidR="002A6D4B" w:rsidRPr="002A6D4B" w:rsidRDefault="002A6D4B" w:rsidP="002A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С.К. Кошман</w:t>
      </w:r>
    </w:p>
    <w:p w14:paraId="0C00B6DC" w14:textId="77777777" w:rsidR="003150B1" w:rsidRDefault="003150B1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A1246" w14:textId="77777777" w:rsidR="003150B1" w:rsidRDefault="003150B1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BE910" w14:textId="77777777" w:rsidR="003150B1" w:rsidRDefault="003150B1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62DE5" w14:textId="77777777" w:rsidR="003150B1" w:rsidRDefault="003150B1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30AB4" w14:textId="77777777" w:rsidR="003150B1" w:rsidRDefault="003150B1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B9B60" w14:textId="77777777" w:rsidR="002A6D4B" w:rsidRPr="002A6D4B" w:rsidRDefault="002A6D4B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</w:p>
    <w:p w14:paraId="21248978" w14:textId="77777777" w:rsidR="002A6D4B" w:rsidRPr="002A6D4B" w:rsidRDefault="002A6D4B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Но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вотитаровского</w:t>
      </w: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BA8109" w14:textId="77777777" w:rsidR="002A6D4B" w:rsidRPr="002A6D4B" w:rsidRDefault="002A6D4B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Динского района</w:t>
      </w:r>
    </w:p>
    <w:p w14:paraId="3AF4F1D7" w14:textId="6C7A203C" w:rsidR="002A6D4B" w:rsidRPr="002A6D4B" w:rsidRDefault="002A6D4B" w:rsidP="002A6D4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D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11.03.2024 № 227</w:t>
      </w:r>
    </w:p>
    <w:p w14:paraId="61EE8817" w14:textId="77777777" w:rsidR="002A6D4B" w:rsidRPr="002A6D4B" w:rsidRDefault="002A6D4B" w:rsidP="002A6D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7C308" w14:textId="77777777" w:rsidR="002A6D4B" w:rsidRDefault="002A6D4B" w:rsidP="002A6D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1DA3A" w14:textId="77777777" w:rsidR="00182319" w:rsidRPr="002A6D4B" w:rsidRDefault="00182319" w:rsidP="002A6D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DD87C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37B6D8BA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уличного освещения на территории</w:t>
      </w:r>
    </w:p>
    <w:p w14:paraId="7CA51C93" w14:textId="77777777" w:rsidR="00145CF3" w:rsidRPr="00145CF3" w:rsidRDefault="00BA425F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Новотитаровского</w:t>
      </w:r>
      <w:r w:rsidR="00145CF3" w:rsidRPr="00145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Динского района</w:t>
      </w:r>
    </w:p>
    <w:p w14:paraId="65463EC4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E2DFB6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требования</w:t>
      </w:r>
    </w:p>
    <w:p w14:paraId="64AD2248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903D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на территории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определяет:</w:t>
      </w:r>
    </w:p>
    <w:p w14:paraId="31E5273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единой технической политики при организации и обслуживании систем уличного освещения;</w:t>
      </w:r>
    </w:p>
    <w:p w14:paraId="3F1E809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использования бюджетных средств и энергетических ресурсов;</w:t>
      </w:r>
    </w:p>
    <w:p w14:paraId="1036D96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систем уличного освещения;</w:t>
      </w:r>
    </w:p>
    <w:p w14:paraId="233EE3A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нормативного уровня освещенности населенных пунктов;</w:t>
      </w:r>
    </w:p>
    <w:p w14:paraId="3EB0C0C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территории Нов</w:t>
      </w:r>
      <w:r w:rsidR="000A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района.</w:t>
      </w:r>
    </w:p>
    <w:p w14:paraId="1DE09233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556453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Перечень нормативно-технической документации:</w:t>
      </w:r>
    </w:p>
    <w:p w14:paraId="25F6AE07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F0F4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Федеральный закон </w:t>
      </w:r>
      <w:r w:rsidRPr="00145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6 октября 2003 г. №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</w:p>
    <w:p w14:paraId="3C79A3E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Федеральный закон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2191CCF5" w14:textId="77777777" w:rsidR="00145CF3" w:rsidRPr="00145CF3" w:rsidRDefault="00145CF3" w:rsidP="00145C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r w:rsidR="00E86623" w:rsidRPr="00E8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Совета Новотитаровского сельского поселения Динского района </w:t>
      </w:r>
      <w:proofErr w:type="spellStart"/>
      <w:proofErr w:type="gramStart"/>
      <w:r w:rsidRPr="0014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proofErr w:type="gramEnd"/>
      <w:r w:rsidRPr="001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6623" w:rsidRPr="00E86623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12.08.2021 № 127-34/04</w:t>
      </w:r>
      <w:r w:rsidRPr="001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благоустройства и санитарного содержания территории Ново</w:t>
      </w:r>
      <w:r w:rsidR="0016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</w:t>
      </w:r>
      <w:r w:rsidRPr="00145CF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70860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ГОСТ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55706-2023 Освещение наружное утилитарное. Классификация и нормы.</w:t>
      </w:r>
    </w:p>
    <w:p w14:paraId="04D2AF2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ГОСТ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55839-2013 Источники света и приборы осветительные. Методы </w:t>
      </w:r>
      <w:r w:rsidRPr="001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светотехнических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измерений и формат представленных данных;</w:t>
      </w:r>
    </w:p>
    <w:p w14:paraId="2195771B" w14:textId="03C8F89E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ГОСТ IEC 60598-2-3-2017 Светильники. Часть 2-3. Частные требования. Светильники для освещения улиц и дорог;</w:t>
      </w:r>
    </w:p>
    <w:p w14:paraId="7E0712C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Правила технической эксплуатации электроустановок потребителей электрической энергии, утвержденные Приказом Министерства энергетики Российской Федерации от 12 августа 2022 г. № 811;</w:t>
      </w:r>
    </w:p>
    <w:p w14:paraId="3D0F01E8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889E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Свод правил 52.13330-2016 «Естественное и искусственное освещение» (актуализированная редакция СНиП 23-05-95)</w:t>
      </w:r>
    </w:p>
    <w:p w14:paraId="757F3782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17947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Полномочия администрации </w:t>
      </w:r>
      <w:r w:rsidRPr="00145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BA4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титаровского</w:t>
      </w:r>
    </w:p>
    <w:p w14:paraId="7E1666CA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Динского района </w:t>
      </w: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организации </w:t>
      </w:r>
    </w:p>
    <w:p w14:paraId="3C7256F5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уличного освещения</w:t>
      </w:r>
    </w:p>
    <w:p w14:paraId="097ECD59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888B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администрации Нов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организации уличного освещения осуществляет в соответствии Федеральным законом </w:t>
      </w:r>
      <w:r w:rsidRPr="00145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6 октября 2003 г.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131 -ФЗ «Об общих принципах организации местного самоуправления в Российской Федерации», а именно:</w:t>
      </w:r>
    </w:p>
    <w:p w14:paraId="56C226A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содержанием, техническим обслуживанием, эксплуатацией, сохранностью объектов уличного освещения. </w:t>
      </w:r>
    </w:p>
    <w:p w14:paraId="7151C1C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инвентаризации сетей уличного освещения, осветительных приборов, приборов учета уличного освещения.</w:t>
      </w:r>
    </w:p>
    <w:p w14:paraId="688341A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Разработка, утверждение и реализация муниципальных программ по реконструкции, модернизации, капитальному ремонту уличного освещения. </w:t>
      </w:r>
    </w:p>
    <w:p w14:paraId="0E7AD8E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Размещение муниципального заказа на техническое обслуживание сетей уличного освещения, на капитальный ремонт, реконструкцию и строительство объектов уличного освещения.</w:t>
      </w:r>
    </w:p>
    <w:p w14:paraId="19E0982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Осуществление иных полномочий в соответствии с законодательством Российской Федерации, Краснодарского края, Уставом </w:t>
      </w:r>
      <w:r w:rsidR="00E86623" w:rsidRPr="00E8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r w:rsidRPr="00E8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пределах компетенции.</w:t>
      </w:r>
    </w:p>
    <w:p w14:paraId="5838B48D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37684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уличного освещения.</w:t>
      </w:r>
    </w:p>
    <w:p w14:paraId="72967201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0783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Освещение улиц на территории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осуществляется непрерывно в вечернее и ночное время.</w:t>
      </w:r>
    </w:p>
    <w:p w14:paraId="7730A68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монтаж светильников наружного освещения на объектах, не являющихся муниципальной собственностью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том числе: дворовых территорий индивидуальных жилых домов, территорий детских садов, общеобразовательных школ, организаций осуществляющих свою деятельность на территории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титаровского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 производится от вводных устройств и через расчетный учет электроэнергии собственников с выполнением действующих норм и правил.</w:t>
      </w:r>
      <w:proofErr w:type="gramEnd"/>
    </w:p>
    <w:p w14:paraId="20716D0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Подключение светильников наружного освещения к сети наружного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являющейся муниципальной собственностью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титаровского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возможно только по согласованию с администрацией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3A6F587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Светильники наружного освещения, установленные без согласования с администрацией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сетях наружного освещения являющимися муниципальной собственностью, подлежат демонтажу.</w:t>
      </w:r>
    </w:p>
    <w:p w14:paraId="4FF665C4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AFC07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1A14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Расчет освещенности, выбор светильников, опор, их шага устанавливается схемой развития и реконструкции муниципальных сетей уличного освещения с учетом типовых решений.</w:t>
      </w:r>
    </w:p>
    <w:p w14:paraId="3FB5D92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экономии бюджетных средств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организацию уличного освещения в населенных пунктах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14:paraId="3E592A6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применяется односторонняя схема размещения светильников наружного освещения;</w:t>
      </w:r>
    </w:p>
    <w:p w14:paraId="7DBD6F5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шага светильников наружного освещения при одностороннем размещении источников света должно составлять не менее 65 метров.</w:t>
      </w:r>
    </w:p>
    <w:p w14:paraId="67652AF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светодиодным светильникам</w:t>
      </w: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F2EB90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Корпус светильника должен быть изготовлен из высококачественных алюминиевых сплавов, окрашенных порошковой краской толщиной не менее 60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мкМ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из анодированного алюминия с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вандало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защищённым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рассеивателем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поликарбоната или стекла.</w:t>
      </w:r>
      <w:proofErr w:type="gramEnd"/>
    </w:p>
    <w:p w14:paraId="2E7CECD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Металлические детали светильников должны иметь соответствующую антикоррозийную защиту.</w:t>
      </w:r>
    </w:p>
    <w:p w14:paraId="0997409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Должна быть обеспечена замена блока питания без вскрытия оптического отсека и демонтажа светильника.</w:t>
      </w:r>
    </w:p>
    <w:p w14:paraId="0A9588B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Светильник должен иметь возможность установки на консольный угловой кронштейн с диаметром трубы до 65 мм.</w:t>
      </w:r>
    </w:p>
    <w:p w14:paraId="25AAC69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Допустимое напряжение питания, В – 170 – 264.</w:t>
      </w:r>
    </w:p>
    <w:p w14:paraId="2391A79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Частота,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50±0,4 (ГОСТ 32144-2013).</w:t>
      </w:r>
    </w:p>
    <w:p w14:paraId="25D5F9D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Степень защиты оптического отсека – не ниже IP65.</w:t>
      </w:r>
    </w:p>
    <w:p w14:paraId="1CDE34E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Блок питания – источник стабилизированного тока, в корпусе – не ниже IP 65.</w:t>
      </w:r>
    </w:p>
    <w:p w14:paraId="13A0313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Коэффициент полезного действия – не менее 90%.</w:t>
      </w:r>
    </w:p>
    <w:p w14:paraId="038C3C9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Полная световая отдача светильника, Лм/Вт – не менее – 100.</w:t>
      </w:r>
    </w:p>
    <w:p w14:paraId="35FDE04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Цветовая температура (теплый белый свет) – 4000 К.</w:t>
      </w:r>
    </w:p>
    <w:p w14:paraId="6792A33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Коэффициент мощности, не хуже – 0.95.</w:t>
      </w:r>
    </w:p>
    <w:p w14:paraId="7F8C6C7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13.Светильники должны соответствовать классу защиты 1 от поражения электрическим током (ГОСТ 12.2.007.0-75).</w:t>
      </w:r>
    </w:p>
    <w:p w14:paraId="492AECBF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Освещение улиц, площадей выполняется светильниками, располагаемыми на опорах или торосах.</w:t>
      </w:r>
    </w:p>
    <w:p w14:paraId="0EC9469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Освещение тротуаров дворовых территорий допускается выполнять светильниками, располагаемыми на стенах или над козырьками подъездов зданий, многоквартирных домов.</w:t>
      </w:r>
    </w:p>
    <w:p w14:paraId="5AA6A5B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Высота размещения светильников наружного освещения должна составлять не менее 2,5 метров.</w:t>
      </w:r>
    </w:p>
    <w:p w14:paraId="4631200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Светильники на улицах с рядовой посадкой деревьев устанавливаются вне крон деревьев на удлиненных кронштейнах, обращенных в сторону проезжей части улицы, или применяется тросовый подвес светильников.</w:t>
      </w:r>
    </w:p>
    <w:p w14:paraId="4C935AA1" w14:textId="77777777" w:rsidR="003150B1" w:rsidRDefault="003150B1" w:rsidP="00145C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F8967C" w14:textId="77777777" w:rsidR="003150B1" w:rsidRDefault="003150B1" w:rsidP="00145C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5A744C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светильников для наружного освещения запрещается:</w:t>
      </w:r>
    </w:p>
    <w:p w14:paraId="5D0646A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неэлектронных пускорегулирующих аппаратов для трубчатых люминесцентных ламп;</w:t>
      </w:r>
    </w:p>
    <w:p w14:paraId="54D175FE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светильников для дуговых ртутных люминесцентных ламп;</w:t>
      </w:r>
    </w:p>
    <w:p w14:paraId="02A87EBF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установка светильников для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двухцокольных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люминесцентных ламп с цоколем G13, за исключением случаев, когда для освещения в соответствии с санитарными правилами и нормами, устанавливающими требования к искусственному и смешанному освещению, не могут применяться светодиодные источники света.</w:t>
      </w:r>
    </w:p>
    <w:p w14:paraId="15132754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кронштейнам:</w:t>
      </w:r>
    </w:p>
    <w:p w14:paraId="1AD86F0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Рекомендованы для применения кронштейны:</w:t>
      </w:r>
    </w:p>
    <w:p w14:paraId="7C27274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радиусный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однорожковый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двухрожковый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1B4F5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угловой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однорожковый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двухрожковый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BFE0C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Крепление кронштейнов к опорам, светильников к кронштейнам выполняется резьбовыми (разъемными) соединениями, исключающими возможность самопроизвольного ослабления.</w:t>
      </w:r>
    </w:p>
    <w:p w14:paraId="731EE4C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Допускается использование радиусных и угловых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трехрожковых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четырехрожковых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кронштейнов в случае проектного подтверждения необходимости такого технического решения (перекрестки, пешеходные переходы, аллеи, спортивные площадки и т. д.).</w:t>
      </w:r>
    </w:p>
    <w:p w14:paraId="033C29E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опорам:</w:t>
      </w:r>
    </w:p>
    <w:p w14:paraId="3621050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Рекомендованы для применения металлические опоры (ГОСТ 8732-78, ГОСТ 10704-91):</w:t>
      </w:r>
    </w:p>
    <w:p w14:paraId="2BCB6DB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опоры граненые конические силовые (ОГКС);</w:t>
      </w:r>
    </w:p>
    <w:p w14:paraId="363BB8A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опоры трубчатые не силовые;</w:t>
      </w:r>
    </w:p>
    <w:p w14:paraId="2C26BB1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опоры трубчатые силовые.</w:t>
      </w:r>
    </w:p>
    <w:p w14:paraId="64E49A4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Рекомендованы для применения железобетонные опоры:</w:t>
      </w:r>
    </w:p>
    <w:p w14:paraId="30FF7AB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восьмигранника;</w:t>
      </w:r>
    </w:p>
    <w:p w14:paraId="5413D86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кольцевое сечение;</w:t>
      </w:r>
    </w:p>
    <w:p w14:paraId="186104E4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круглая;</w:t>
      </w:r>
    </w:p>
    <w:p w14:paraId="5D0557C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коническая;</w:t>
      </w:r>
    </w:p>
    <w:p w14:paraId="3105229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трапециевидное сечение.</w:t>
      </w:r>
    </w:p>
    <w:p w14:paraId="2D0BF42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Допускается при организации освещения в исторических и памятных местах применение декоративных металлических опор, кронштейнов и светильников в соответствии с проектом.</w:t>
      </w:r>
    </w:p>
    <w:p w14:paraId="3EA1A5E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улицах допускается устанавливать опоры за кюветом, если расстояние от опоры до ближней границы проезжей части не превышает 4 м.</w:t>
      </w:r>
    </w:p>
    <w:p w14:paraId="5A674C5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Опоры освещения улиц и дорог, имеющих разделительные полосы шириной 4 м и более, могут устанавливаться по центру разделительных полос.</w:t>
      </w:r>
    </w:p>
    <w:p w14:paraId="47E7836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Опоры освещения на тротуарах или разделительных и зеленых полосах могут устанавливаться на расстоянии не менее 0,6 м от лицевой грани бортового камня до наружной поверхности опоры (или его цоколя). Это расстояние на жилых улицах может быть уменьшено до 0,3 м. </w:t>
      </w:r>
    </w:p>
    <w:p w14:paraId="17A83D24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Опора не должна находиться между пожарным гидрантом и проезжей частью улицы или дороги.</w:t>
      </w:r>
    </w:p>
    <w:p w14:paraId="4FB1B73D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E4F3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Опоры на аллеях и пешеходных дорогах должны располагаться вне пешеходной части.</w:t>
      </w:r>
    </w:p>
    <w:p w14:paraId="6D70DEB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14:paraId="1E1D237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приборам учета электрической энергии:</w:t>
      </w:r>
    </w:p>
    <w:p w14:paraId="5EE6785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Прибор учета электрической энергии представлять собой цифровой двух и трехфазный счетчик, находящийся в Государственном реестре средств измерений.</w:t>
      </w:r>
    </w:p>
    <w:p w14:paraId="4AA3F2A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Прибор учета электрической энергии предназначен для учета активной и реактивной электрической энергии в прямом направлении в двухфазных, трехфазных 2-х 3-х и 4-х проводных сетях переменного тока с возможностью тарифного учета и долговременного хранения.</w:t>
      </w:r>
    </w:p>
    <w:p w14:paraId="0EA0E855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DBB6D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 объектов (средств) наружного освещения.</w:t>
      </w:r>
    </w:p>
    <w:p w14:paraId="1A0C276E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170D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Поврежденные элементы сетей, влияющие на их работу или электробезопасность, должны ремонтироваться немедленно, не влияющие - в течение 10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14:paraId="5262C5B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</w:t>
      </w:r>
    </w:p>
    <w:p w14:paraId="3246EC1F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</w:t>
      </w:r>
    </w:p>
    <w:p w14:paraId="65DD2C6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сбитых, а также оставшихся после замены опор освещения на территориях общего пользования не допускается. Вывоз таких опор осуществляется в течение суток с момента демонтажа, либо с момента получения информации о наличии таких опор от граждан или юридических лиц.</w:t>
      </w:r>
    </w:p>
    <w:p w14:paraId="70FDBF7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Отказы в работе объектов уличного освещения, связанные с обрывом электрических проводов или повреждением опор, отказом системы управления наружным освещением должны устраняться специализированной организацией немедленно после обнаружения.</w:t>
      </w:r>
    </w:p>
    <w:p w14:paraId="51A713B8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70079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Обеспечение регламентного состояния </w:t>
      </w:r>
    </w:p>
    <w:p w14:paraId="6839F44D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 наружного освещения.</w:t>
      </w:r>
    </w:p>
    <w:p w14:paraId="125E1FB8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F37EF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Система обеспечения регламентного состояния установок наружного освещения включает в себя совокупность взаимосвязанных мероприятий, направленных на дальнейшее улучшение состояния установок наружного 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освещения, гарантированного обеспечения надлежащего вида установок и их светотехнических параметров.</w:t>
      </w:r>
    </w:p>
    <w:p w14:paraId="7B5B324E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состав работ по обеспечению регламентного состояния наружного освещения должны входить следующие виды работ:</w:t>
      </w:r>
    </w:p>
    <w:p w14:paraId="74A5D35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Планово-предупредительные работы:</w:t>
      </w:r>
    </w:p>
    <w:p w14:paraId="18A9BE4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плановая техническая эксплуатация, включающая в себя:</w:t>
      </w:r>
    </w:p>
    <w:p w14:paraId="42F62FA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осмотры;</w:t>
      </w:r>
    </w:p>
    <w:p w14:paraId="798F869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техническое обслуживание;</w:t>
      </w:r>
    </w:p>
    <w:p w14:paraId="122B360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плановые текущие ремонты;</w:t>
      </w:r>
    </w:p>
    <w:p w14:paraId="1EC4AF6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капитальный ремонт;</w:t>
      </w:r>
    </w:p>
    <w:p w14:paraId="7A896B0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Непредвиденные работы:</w:t>
      </w:r>
    </w:p>
    <w:p w14:paraId="04DC451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внеплановые осмотры (после аварий, чрезвычайных ситуаций и т. п.);</w:t>
      </w:r>
    </w:p>
    <w:p w14:paraId="115235F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аварийно-восстановительные работы неотложного характера.</w:t>
      </w:r>
    </w:p>
    <w:p w14:paraId="19ED966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Техническое обслуживание включает в себя комплекс работ, направленных на обеспечение бесперебойного функционирования установок наружного освещения и предотвращение их преждевременного износа как при нормальном режиме эксплуатации под воздействием внешней среды, так и при его внезапном нарушении, путем своевременного выявления и устранения возникающих отказов, обеспечение регламентного внешнего вида установок.</w:t>
      </w:r>
    </w:p>
    <w:p w14:paraId="4AAEE9E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Плановый текущий ремонт включает все работы по ремонту установок наружного освещения в период между капитальными ремонтами, имеющими целью обеспечить проверку состояния, восстановления нормального внешнего вида и безопасности оборудования, а также светотехнических параметров установок.</w:t>
      </w:r>
    </w:p>
    <w:p w14:paraId="3350BEAE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целях восстановления исправности установок наружного освещения до уровня, близкого к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имевшемуся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их сооружения, должен производиться капитальный ремонт.</w:t>
      </w:r>
    </w:p>
    <w:p w14:paraId="3BAFD8A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Перед проведением капитального ремонта производится комплексная документальная, визуальная и инструментальная диагностика технического состояния электроустановки, с определением необходимого объема ремонтно-восстановительных работ и составлением дефектной ведомости работ.</w:t>
      </w:r>
    </w:p>
    <w:p w14:paraId="641838E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Капитальный ремонт должен производиться 1 раз в 10 лет по утвержденному проекту или дефектной ведомости с учетом требований, направленных на увеличение длительности безотказной работы оборудования, улучшение его технико-экономических показателей, безопасности и внешнего вида.</w:t>
      </w:r>
    </w:p>
    <w:p w14:paraId="104C619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Аварийно-восстановительные работы неотложного характера выполняются по результатам внеплановых осмотров. В зависимости от состава и объемов работ, они могут быть классифицированы как: текущий или капитальный ремонт.</w:t>
      </w:r>
    </w:p>
    <w:p w14:paraId="5D47DB7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Контрольные объезды должны проводиться не реже одного раза в месяц, а внеплановые – при получении заявок от физических или юридических лиц.</w:t>
      </w:r>
    </w:p>
    <w:p w14:paraId="28BBD56D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784F9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Техническое обслуживание систем наружного освещения.</w:t>
      </w:r>
    </w:p>
    <w:p w14:paraId="5AB51E25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A9AFA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25B8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воздушных и кабельных линий должно включать в себя следующие основные виды работ:</w:t>
      </w:r>
    </w:p>
    <w:p w14:paraId="7F8E9EC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отсутствия перегрева;</w:t>
      </w:r>
    </w:p>
    <w:p w14:paraId="1D6D92C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состояния защиты от механических повреждений;</w:t>
      </w:r>
    </w:p>
    <w:p w14:paraId="0FA3CFF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состояния муфт и заделок;</w:t>
      </w:r>
    </w:p>
    <w:p w14:paraId="1A6D955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изоляции, состояния паек и контактных соединений;</w:t>
      </w:r>
    </w:p>
    <w:p w14:paraId="7905F77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мест с поврежденной изоляцией;</w:t>
      </w:r>
    </w:p>
    <w:p w14:paraId="74F2EB5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в карту осмотра.</w:t>
      </w:r>
    </w:p>
    <w:p w14:paraId="263C40E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обслуживание осветительных приборов должно включать в себя следующие основные виды работ:</w:t>
      </w:r>
    </w:p>
    <w:p w14:paraId="7092A9F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ревизия светильников;</w:t>
      </w:r>
    </w:p>
    <w:p w14:paraId="458F76F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замена ламп, предохранителей,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рассеивателей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дросселей, импульсных зажигающих устройств;</w:t>
      </w:r>
    </w:p>
    <w:p w14:paraId="2BD2F27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корректировка положения светильника.</w:t>
      </w:r>
    </w:p>
    <w:p w14:paraId="56AC7CD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Техническое обслуживание опорных конструкций должно включать в себя следующие основные виды работ:</w:t>
      </w:r>
    </w:p>
    <w:p w14:paraId="323D69F8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вертикальности опор и положения кронштейнов со светильниками;</w:t>
      </w:r>
    </w:p>
    <w:p w14:paraId="7917153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исправности дверок и замков в металлических конструкциях;</w:t>
      </w:r>
    </w:p>
    <w:p w14:paraId="05962C8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отсутствия возможности доступа без применения инструмента к кабельной заделке, к щитам с предохранителем или автоматическими выключателями;</w:t>
      </w:r>
    </w:p>
    <w:p w14:paraId="6D365A5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кронштейнов, металлических опор и корпусов светильников на наличие очагов коррозии;</w:t>
      </w:r>
    </w:p>
    <w:p w14:paraId="59353ACF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удалением рекламной информации, наклеек, объявлений и т. д.;</w:t>
      </w:r>
    </w:p>
    <w:p w14:paraId="6A1E0AD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наличия нумерации опор и ее восстановление (при необходимости).</w:t>
      </w:r>
    </w:p>
    <w:p w14:paraId="1D91B1D2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F7A1C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Плановый текущий ремонт систем наружного освещения.</w:t>
      </w:r>
    </w:p>
    <w:p w14:paraId="5EDC868C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284CC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1.Плановый текущий ремонт воздушных и кабельных линий должен включать в себя следующие основные виды работ:</w:t>
      </w:r>
    </w:p>
    <w:p w14:paraId="404D5B14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чистка кабельных каналов;</w:t>
      </w:r>
    </w:p>
    <w:p w14:paraId="72ABE75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замена конструкций крепления кабелей;</w:t>
      </w:r>
    </w:p>
    <w:p w14:paraId="47D766C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коррозии оболочек;</w:t>
      </w:r>
    </w:p>
    <w:p w14:paraId="2D8E962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замена отдельных участков воздушных и кабельных линий с ветхой или поврежденной изоляцией (до 50 м.);</w:t>
      </w:r>
    </w:p>
    <w:p w14:paraId="5223BA19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замена скоб и креплений;</w:t>
      </w:r>
    </w:p>
    <w:p w14:paraId="3FA7400D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подтяжка и упорядочение их раскладки;</w:t>
      </w:r>
    </w:p>
    <w:p w14:paraId="0E510CF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перезаделка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муфт, воронок, сухих разделок;</w:t>
      </w:r>
    </w:p>
    <w:p w14:paraId="566A215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обрезка нависающих на провода воздушных электролиний ветвей деревьев;</w:t>
      </w:r>
    </w:p>
    <w:p w14:paraId="408DCB64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состояния изоляции кабельных линий, испытание мегомметром 1,0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текущего ремонта;</w:t>
      </w:r>
    </w:p>
    <w:p w14:paraId="07F835ED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9750D" w14:textId="77777777" w:rsidR="003150B1" w:rsidRDefault="003150B1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08B6E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измерение сопротивления петли фаза-ноль в распределительной сети после проведения текущего ремонта;</w:t>
      </w:r>
    </w:p>
    <w:p w14:paraId="67B1B51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наличия цепи между заземлителями и заземляемыми элементами после проведения текущего ремонта (сопротивление контактов заземляющих проводников не должно превышать 0,05 Ом).</w:t>
      </w:r>
    </w:p>
    <w:p w14:paraId="277DA4D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Плановый текущий ремонт осветительных приборов должен включать в себя следующие основные виды работ:</w:t>
      </w:r>
    </w:p>
    <w:p w14:paraId="1A2A031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полная ревизия светильников;</w:t>
      </w:r>
    </w:p>
    <w:p w14:paraId="58C505D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крепления патронов, ниппелей и контактов с заменой неисправных</w:t>
      </w:r>
    </w:p>
    <w:p w14:paraId="197DA7FB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перезарядка проводов в светильниках;</w:t>
      </w:r>
    </w:p>
    <w:p w14:paraId="04A1F55F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лакокрасочных покрытий корпусов приборов;</w:t>
      </w:r>
    </w:p>
    <w:p w14:paraId="544EDEEE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замена ламп, вышедших из строя и неудовлетворяющих светотехническим параметрам;</w:t>
      </w:r>
    </w:p>
    <w:p w14:paraId="70CB2ABF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Плановый текущий ремонт опорных конструкций должен включать в себя восстановление правильного положения опор, кронштейнов, цоколей.</w:t>
      </w:r>
    </w:p>
    <w:p w14:paraId="3D33DCDE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Элементы наружного освещения после проведения планового текущего ремонта должны соответствовать требованиям к регламентному состоянию.</w:t>
      </w:r>
    </w:p>
    <w:p w14:paraId="09AD17AE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21852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Капитальный ремонт систем наружного освещения</w:t>
      </w:r>
    </w:p>
    <w:p w14:paraId="441BDEC6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E3BBA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капитальному ремонту относятся работы, связанные с заменой основных элементов установок наружного освещения, включая элементы пунктов питания.</w:t>
      </w:r>
    </w:p>
    <w:p w14:paraId="7A863AB0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 проведением капитального ремонта производится комплексная документальная, визуальная и инструментальная диагностика технического состояния СНО, с определением необходимого объема ремонтно-восстановительных работ и составлением дефектной ведомости. При необходимости, выпускается проектная документация на капитальный ремонт СНО.</w:t>
      </w:r>
    </w:p>
    <w:p w14:paraId="0A867657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Сроки проведения капитального ремонта определяются в соответствии с нормативными сроками службы используемого оборудования и его технического состояния.</w:t>
      </w:r>
    </w:p>
    <w:p w14:paraId="6376999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Установки наружного освещения после проведения капитального ремонта должны соответствовать требованиям нормативных документов по электробезопасности, находиться в регламентном состоянии и обеспечивать светотехнические параметры в соответствии с ГОСТ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55706-2023.</w:t>
      </w:r>
    </w:p>
    <w:p w14:paraId="57EEC8E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Светильники с истекшим сроком службы, резко снизившие свои эксплуатационные параметры и неремонтопригодные, должны быть заменены на новые энергосберегающие светильники.</w:t>
      </w:r>
    </w:p>
    <w:p w14:paraId="7E9D8B8C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C5727" w14:textId="77777777" w:rsidR="003150B1" w:rsidRDefault="003150B1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B84E6F" w14:textId="77777777" w:rsidR="003150B1" w:rsidRDefault="003150B1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A5B4F2" w14:textId="77777777" w:rsidR="003150B1" w:rsidRDefault="003150B1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1B595E" w14:textId="77777777" w:rsidR="003150B1" w:rsidRDefault="003150B1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FF66F4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Порядок определения расходов электроэнергии</w:t>
      </w:r>
    </w:p>
    <w:p w14:paraId="6D1D8A76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5B965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учета электроэнергии и расчета с предприятиями - поставщиками за потребленную электроэнергию во всех пунктах питания, питающих сети уличного освещения, устанавливаются приборы учета электроэнергии.</w:t>
      </w:r>
    </w:p>
    <w:p w14:paraId="70B61A26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основании ежемесячного </w:t>
      </w:r>
      <w:proofErr w:type="gram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показаний приборов учета электроэнергии</w:t>
      </w:r>
      <w:proofErr w:type="gram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расчет фактически потребленной электроэнергии.</w:t>
      </w:r>
    </w:p>
    <w:p w14:paraId="1516286E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19CAEC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Финансовое обеспечение уличного освещения</w:t>
      </w:r>
    </w:p>
    <w:p w14:paraId="0E8A73BD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6CF6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Финансовое обеспечение уличного освещения на территории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осуществляется за счет средств бюджета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внебюджетных источников. </w:t>
      </w:r>
    </w:p>
    <w:p w14:paraId="7ECEC581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целях обеспечения муниципальных нужд администрация Ново</w:t>
      </w:r>
      <w:r w:rsidR="00BA4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титаровского</w:t>
      </w: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может заключать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энергосервисный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(контракт).</w:t>
      </w:r>
    </w:p>
    <w:p w14:paraId="5D7BDD13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Муниципальный </w:t>
      </w:r>
      <w:proofErr w:type="spellStart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энергосервисный</w:t>
      </w:r>
      <w:proofErr w:type="spellEnd"/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(контракт) на обслуживание уличного освещения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73DCFB70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A6FA36" w14:textId="77777777" w:rsidR="00145CF3" w:rsidRPr="00145CF3" w:rsidRDefault="00145CF3" w:rsidP="0014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Требования к обращению с отходами производства и потребления в части электрических ламп</w:t>
      </w:r>
    </w:p>
    <w:p w14:paraId="43D9D3A4" w14:textId="77777777" w:rsidR="00145CF3" w:rsidRPr="00145CF3" w:rsidRDefault="00145CF3" w:rsidP="0014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91552" w14:textId="77777777" w:rsidR="00145CF3" w:rsidRPr="00145CF3" w:rsidRDefault="00145CF3" w:rsidP="00145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Обращение с отходами производства и потребления, в том числе электрических ламп, накопление, транспортировка осуществляются в соответствии </w:t>
      </w:r>
      <w:r w:rsidRPr="001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45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 2.1.3684-21</w:t>
      </w:r>
      <w:r w:rsidRPr="00145CF3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.</w:t>
      </w:r>
    </w:p>
    <w:p w14:paraId="09D39CFF" w14:textId="77777777" w:rsidR="00145CF3" w:rsidRPr="00145CF3" w:rsidRDefault="00145CF3" w:rsidP="0014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A8A94" w14:textId="77777777" w:rsidR="00145CF3" w:rsidRDefault="00145CF3" w:rsidP="0014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2FC1F" w14:textId="77777777" w:rsidR="00BC7F42" w:rsidRPr="00145CF3" w:rsidRDefault="00BC7F42" w:rsidP="0014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F1F7B" w14:textId="77777777" w:rsidR="00E86623" w:rsidRPr="00BC7F42" w:rsidRDefault="00145CF3" w:rsidP="0014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86623" w:rsidRPr="00BC7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ЖКХ,</w:t>
      </w:r>
    </w:p>
    <w:p w14:paraId="249792F1" w14:textId="1524CFC3" w:rsidR="00E86623" w:rsidRPr="00BC7F42" w:rsidRDefault="003150B1" w:rsidP="0014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6623" w:rsidRPr="00BC7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ранспорта, малого и среднего</w:t>
      </w:r>
    </w:p>
    <w:p w14:paraId="65ECF88C" w14:textId="77777777" w:rsidR="00145CF3" w:rsidRPr="00145CF3" w:rsidRDefault="00E86623" w:rsidP="0014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="00145CF3" w:rsidRPr="00BC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BC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М.М. Бондарь</w:t>
      </w:r>
    </w:p>
    <w:p w14:paraId="0018A94C" w14:textId="77777777" w:rsidR="0027204E" w:rsidRDefault="0027204E" w:rsidP="00182319">
      <w:pPr>
        <w:shd w:val="clear" w:color="auto" w:fill="FFFFFF"/>
        <w:spacing w:after="0" w:line="240" w:lineRule="auto"/>
        <w:jc w:val="center"/>
      </w:pPr>
    </w:p>
    <w:sectPr w:rsidR="0027204E" w:rsidSect="003150B1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BD"/>
    <w:rsid w:val="000A4A13"/>
    <w:rsid w:val="000D061A"/>
    <w:rsid w:val="00145CF3"/>
    <w:rsid w:val="0016414A"/>
    <w:rsid w:val="00182319"/>
    <w:rsid w:val="0027204E"/>
    <w:rsid w:val="002A6D4B"/>
    <w:rsid w:val="003150B1"/>
    <w:rsid w:val="006F502D"/>
    <w:rsid w:val="006F7134"/>
    <w:rsid w:val="00A125BD"/>
    <w:rsid w:val="00BA425F"/>
    <w:rsid w:val="00BC7F42"/>
    <w:rsid w:val="00D83196"/>
    <w:rsid w:val="00E86623"/>
    <w:rsid w:val="00EF68DF"/>
    <w:rsid w:val="00F77678"/>
    <w:rsid w:val="00F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B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PC</cp:lastModifiedBy>
  <cp:revision>16</cp:revision>
  <cp:lastPrinted>2024-03-11T06:08:00Z</cp:lastPrinted>
  <dcterms:created xsi:type="dcterms:W3CDTF">2024-01-31T10:39:00Z</dcterms:created>
  <dcterms:modified xsi:type="dcterms:W3CDTF">2024-03-21T12:26:00Z</dcterms:modified>
</cp:coreProperties>
</file>