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D7" w:rsidRDefault="00AC37D7" w:rsidP="00F140E8"/>
    <w:p w:rsidR="007A79F5" w:rsidRDefault="00836669" w:rsidP="007A79F5">
      <w:pPr>
        <w:jc w:val="center"/>
        <w:rPr>
          <w:kern w:val="0"/>
        </w:rPr>
      </w:pPr>
      <w:r>
        <w:rPr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9F5" w:rsidRDefault="00553ABE" w:rsidP="007A79F5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7A79F5" w:rsidRDefault="00553ABE" w:rsidP="007A79F5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7A79F5" w:rsidRDefault="007A79F5" w:rsidP="007A79F5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ar-SA"/>
        </w:rPr>
      </w:pPr>
    </w:p>
    <w:p w:rsidR="007A79F5" w:rsidRDefault="00553ABE" w:rsidP="007A79F5">
      <w:pPr>
        <w:tabs>
          <w:tab w:val="left" w:pos="1134"/>
        </w:tabs>
        <w:jc w:val="center"/>
        <w:rPr>
          <w:sz w:val="24"/>
          <w:szCs w:val="22"/>
        </w:rPr>
      </w:pPr>
      <w:r>
        <w:rPr>
          <w:b/>
          <w:bCs/>
          <w:sz w:val="32"/>
          <w:szCs w:val="32"/>
        </w:rPr>
        <w:t>ПОСТАНОВЛЕНИЕ</w:t>
      </w:r>
    </w:p>
    <w:p w:rsidR="007A79F5" w:rsidRDefault="00553ABE" w:rsidP="009B5B31">
      <w:pPr>
        <w:rPr>
          <w:sz w:val="24"/>
          <w:szCs w:val="22"/>
        </w:rPr>
      </w:pPr>
      <w:r>
        <w:rPr>
          <w:sz w:val="28"/>
          <w:szCs w:val="28"/>
        </w:rPr>
        <w:t xml:space="preserve">от 22.08.2023                           </w:t>
      </w:r>
      <w:r w:rsidR="009B5B3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№ 883</w:t>
      </w:r>
    </w:p>
    <w:p w:rsidR="007A79F5" w:rsidRDefault="00553ABE" w:rsidP="007A79F5">
      <w:pPr>
        <w:ind w:right="27"/>
        <w:jc w:val="center"/>
        <w:rPr>
          <w:sz w:val="24"/>
          <w:szCs w:val="22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553ABE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bookmarkEnd w:id="1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553ABE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RDefault="00553ABE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553ABE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553ABE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553ABE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D71D76" w:rsidRPr="00D71D76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AC37D7" w:rsidRDefault="00553ABE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553ABE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553ABE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ED1A20" w:rsidRDefault="00553ABE" w:rsidP="00ED1A20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</w:p>
    <w:p w:rsidR="00AC37D7" w:rsidRPr="00ED1A20" w:rsidRDefault="00553ABE" w:rsidP="00ED1A20">
      <w:pPr>
        <w:shd w:val="clear" w:color="auto" w:fill="FFFFFF"/>
        <w:ind w:left="23"/>
        <w:rPr>
          <w:sz w:val="28"/>
          <w:szCs w:val="28"/>
        </w:rPr>
        <w:sectPr w:rsidR="00AC37D7" w:rsidRPr="00ED1A20" w:rsidSect="009B5B31">
          <w:pgSz w:w="11906" w:h="16838"/>
          <w:pgMar w:top="568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     </w:t>
      </w:r>
      <w:r w:rsidR="005400A3">
        <w:rPr>
          <w:color w:val="000000"/>
          <w:spacing w:val="-2"/>
          <w:sz w:val="28"/>
          <w:szCs w:val="28"/>
        </w:rPr>
        <w:t xml:space="preserve">        </w:t>
      </w:r>
      <w:r w:rsidR="00ED1A20">
        <w:rPr>
          <w:color w:val="000000"/>
          <w:spacing w:val="-2"/>
          <w:sz w:val="28"/>
          <w:szCs w:val="28"/>
        </w:rPr>
        <w:t xml:space="preserve">                                         </w:t>
      </w:r>
      <w:r w:rsidR="005400A3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2"/>
      <w:r w:rsidR="00ED1A20">
        <w:rPr>
          <w:color w:val="000000"/>
          <w:spacing w:val="-2"/>
          <w:sz w:val="28"/>
          <w:szCs w:val="28"/>
        </w:rPr>
        <w:t>С.К. Кошман</w:t>
      </w:r>
    </w:p>
    <w:p w:rsidR="009E4034" w:rsidRPr="003F2BF8" w:rsidRDefault="00553ABE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lastRenderedPageBreak/>
        <w:t>ПРИЛОЖЕНИЕ</w:t>
      </w:r>
    </w:p>
    <w:p w:rsidR="009E4034" w:rsidRPr="003F2BF8" w:rsidRDefault="00553ABE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9E4034" w:rsidRPr="003F2BF8" w:rsidRDefault="00553ABE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075F45">
        <w:rPr>
          <w:kern w:val="0"/>
          <w:sz w:val="28"/>
          <w:szCs w:val="28"/>
          <w:lang w:eastAsia="ar-SA"/>
        </w:rPr>
        <w:t>22.08.2023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075F45">
        <w:rPr>
          <w:kern w:val="0"/>
          <w:sz w:val="28"/>
          <w:szCs w:val="28"/>
          <w:lang w:eastAsia="ar-SA"/>
        </w:rPr>
        <w:t>883</w:t>
      </w:r>
    </w:p>
    <w:p w:rsidR="009E4034" w:rsidRPr="003F2BF8" w:rsidRDefault="009E4034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553ABE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 w:rsidRDefault="00553ABE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9E4034" w:rsidRPr="003F2BF8" w:rsidRDefault="00553ABE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 w:rsidRDefault="009E403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="-318" w:tblpY="1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6"/>
        <w:gridCol w:w="1843"/>
        <w:gridCol w:w="1411"/>
        <w:gridCol w:w="7"/>
        <w:gridCol w:w="1001"/>
        <w:gridCol w:w="993"/>
        <w:gridCol w:w="980"/>
      </w:tblGrid>
      <w:tr w:rsidR="00835B5F" w:rsidTr="001A4228"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№</w:t>
            </w:r>
          </w:p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proofErr w:type="gramStart"/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</w:t>
            </w:r>
            <w:proofErr w:type="gramEnd"/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R="00835B5F" w:rsidTr="001A4228"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R="00835B5F" w:rsidTr="001A4228"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76CC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,0589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9D2699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40805,5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553ABE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15000</w:t>
            </w:r>
          </w:p>
        </w:tc>
      </w:tr>
      <w:tr w:rsidR="00835B5F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RDefault="00A451DD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907AF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B2E1C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870</w:t>
            </w:r>
            <w:r w:rsidR="009D2699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R="00835B5F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2967,9829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4000</w:t>
            </w:r>
          </w:p>
        </w:tc>
      </w:tr>
      <w:tr w:rsidR="00835B5F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Сбор и утилизация </w:t>
            </w:r>
            <w:proofErr w:type="spellStart"/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биоотходов</w:t>
            </w:r>
            <w:proofErr w:type="spellEnd"/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5B5F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3F2BF8" w:rsidRDefault="004B2104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Восстановительное, компенсационное о</w:t>
            </w:r>
            <w:r w:rsidR="00553ABE"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зеленение</w:t>
            </w: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и содержание зелёных </w:t>
            </w: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24346,1</w:t>
            </w:r>
          </w:p>
          <w:p w:rsidR="00E14C85" w:rsidRPr="00E14C85" w:rsidRDefault="00E14C85" w:rsidP="001A4228">
            <w:pPr>
              <w:widowControl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</w:tr>
      <w:tr w:rsidR="00835B5F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proofErr w:type="spellStart"/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Комароистребительные</w:t>
            </w:r>
            <w:proofErr w:type="spellEnd"/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работы (обработка от клещей и комаров,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4018C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260,7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урн для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бензопилы</w:t>
            </w:r>
            <w:r w:rsidR="00CB7376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CB7376">
              <w:rPr>
                <w:rFonts w:eastAsia="Calibri"/>
                <w:kern w:val="0"/>
                <w:sz w:val="28"/>
                <w:szCs w:val="28"/>
                <w:lang w:eastAsia="ar-SA"/>
              </w:rPr>
              <w:t>мотокосы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листа </w:t>
            </w:r>
            <w:proofErr w:type="gramStart"/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г</w:t>
            </w:r>
            <w:proofErr w:type="gramEnd"/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/к 4х1500х6000</w:t>
            </w:r>
            <w:r w:rsidR="00707FCE">
              <w:rPr>
                <w:rFonts w:eastAsia="Calibri"/>
                <w:kern w:val="0"/>
                <w:sz w:val="28"/>
                <w:szCs w:val="28"/>
                <w:lang w:eastAsia="ar-SA"/>
              </w:rPr>
              <w:t>, фанерных 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</w:t>
            </w: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4018C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39,3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lastRenderedPageBreak/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Услуги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B2E1C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по ул. Заречная, 40 </w:t>
            </w:r>
          </w:p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728,5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«Садовые ножницы 450 мм/18»</w:t>
            </w:r>
            <w:r w:rsidR="00853A26"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, «Машина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07A41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Благоустройство центрального парка и благоустройство территории зоны для почетных 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Плиты перекрытия колодцев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A451DD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Устройство по монтажу 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колесоотбойника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CE3282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CE3282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D3E" w:rsidRDefault="00F50D3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Default="00553ABE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Default="008E065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8E065B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F50D3E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1A422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F50D3E" w:rsidRDefault="00553ABE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Default="00553AB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228" w:rsidRDefault="001A422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835B5F" w:rsidTr="001A4228"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Энергосбережение, уличное освещение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71EA2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="00713F60" w:rsidRP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4619,0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B927F1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2935B6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553ABE"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12000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Оплата за электроэнергию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112</w:t>
            </w:r>
            <w:r w:rsidR="00553ABE"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9600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Расширение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713F6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723,4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71EA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90,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875,6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1500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Сереном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5FD7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: Трансформатор ТМГ 250/10-0.4 </w:t>
            </w:r>
            <w:proofErr w:type="spellStart"/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кВ</w:t>
            </w:r>
            <w:proofErr w:type="spellEnd"/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УХЛ</w:t>
            </w:r>
            <w:proofErr w:type="gramStart"/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proofErr w:type="gramEnd"/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(Д/Ун-11) и комплектующие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301,00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мест захоронения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C8219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1949A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835B5F" w:rsidTr="001A4228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Содержание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работы мемориала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1949A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835B5F" w:rsidTr="001A4228">
        <w:trPr>
          <w:trHeight w:val="706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 w:rsidRDefault="00553ABE" w:rsidP="001A422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071EA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5B5F" w:rsidTr="001A4228"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3ABE" w:rsidP="001A4228">
            <w:pPr>
              <w:widowControl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RDefault="00713F6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61770,7589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59053,3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3ABE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27360</w:t>
            </w:r>
          </w:p>
        </w:tc>
      </w:tr>
    </w:tbl>
    <w:p w:rsidR="009E4034" w:rsidRPr="003F2BF8" w:rsidRDefault="009E4034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BB6113" w:rsidRDefault="00BB6113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FA353D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kern w:val="0"/>
          <w:sz w:val="28"/>
          <w:szCs w:val="28"/>
          <w:lang w:eastAsia="ar-SA"/>
        </w:rPr>
        <w:t>И.о</w:t>
      </w:r>
      <w:proofErr w:type="spellEnd"/>
      <w:r>
        <w:rPr>
          <w:rFonts w:eastAsia="Calibri"/>
          <w:color w:val="000000"/>
          <w:kern w:val="0"/>
          <w:sz w:val="28"/>
          <w:szCs w:val="28"/>
          <w:lang w:eastAsia="ar-SA"/>
        </w:rPr>
        <w:t>. н</w:t>
      </w:r>
      <w:r w:rsidR="00553ABE" w:rsidRPr="003F2BF8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а</w:t>
      </w:r>
      <w:r w:rsidR="00553ABE"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ЖКХ, транспорта, </w:t>
      </w:r>
    </w:p>
    <w:p w:rsidR="002B6881" w:rsidRPr="003F2BF8" w:rsidRDefault="00553ABE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           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</w:t>
      </w:r>
      <w:r w:rsidR="00FA353D">
        <w:rPr>
          <w:rFonts w:eastAsia="Calibri"/>
          <w:color w:val="000000"/>
          <w:kern w:val="0"/>
          <w:sz w:val="28"/>
          <w:szCs w:val="28"/>
          <w:lang w:eastAsia="en-US"/>
        </w:rPr>
        <w:t>С.П. Васильченко</w:t>
      </w:r>
    </w:p>
    <w:p w:rsidR="009E4034" w:rsidRPr="003F2BF8" w:rsidRDefault="009E4034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bookmarkStart w:id="3" w:name="_GoBack"/>
      <w:bookmarkEnd w:id="3"/>
    </w:p>
    <w:sectPr w:rsidR="009E4034" w:rsidRPr="003F2BF8" w:rsidSect="001A4228">
      <w:headerReference w:type="default" r:id="rId9"/>
      <w:pgSz w:w="11906" w:h="16838"/>
      <w:pgMar w:top="709" w:right="851" w:bottom="709" w:left="1701" w:header="709" w:footer="314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4F" w:rsidRDefault="00F43C4F">
      <w:r>
        <w:separator/>
      </w:r>
    </w:p>
  </w:endnote>
  <w:endnote w:type="continuationSeparator" w:id="0">
    <w:p w:rsidR="00F43C4F" w:rsidRDefault="00F4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4F" w:rsidRDefault="00F43C4F">
      <w:r>
        <w:separator/>
      </w:r>
    </w:p>
  </w:footnote>
  <w:footnote w:type="continuationSeparator" w:id="0">
    <w:p w:rsidR="00F43C4F" w:rsidRDefault="00F43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07AF7" w:rsidP="001A422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B5B3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67A19"/>
    <w:rsid w:val="00071E66"/>
    <w:rsid w:val="00071EA2"/>
    <w:rsid w:val="00075F45"/>
    <w:rsid w:val="00092B9E"/>
    <w:rsid w:val="000C4EDA"/>
    <w:rsid w:val="00105A83"/>
    <w:rsid w:val="00122931"/>
    <w:rsid w:val="001460AA"/>
    <w:rsid w:val="001949A0"/>
    <w:rsid w:val="001A4228"/>
    <w:rsid w:val="001F5980"/>
    <w:rsid w:val="00224D28"/>
    <w:rsid w:val="002717B3"/>
    <w:rsid w:val="00291895"/>
    <w:rsid w:val="002935B6"/>
    <w:rsid w:val="002B4AD2"/>
    <w:rsid w:val="002B6881"/>
    <w:rsid w:val="002E232F"/>
    <w:rsid w:val="002F597E"/>
    <w:rsid w:val="00375BC0"/>
    <w:rsid w:val="003848D7"/>
    <w:rsid w:val="0039393C"/>
    <w:rsid w:val="003C75FF"/>
    <w:rsid w:val="003F2BF8"/>
    <w:rsid w:val="00407A41"/>
    <w:rsid w:val="00411B59"/>
    <w:rsid w:val="0044018C"/>
    <w:rsid w:val="00464D2E"/>
    <w:rsid w:val="00483D9C"/>
    <w:rsid w:val="004B2104"/>
    <w:rsid w:val="00534272"/>
    <w:rsid w:val="005400A3"/>
    <w:rsid w:val="00547781"/>
    <w:rsid w:val="00553ABE"/>
    <w:rsid w:val="00581B5F"/>
    <w:rsid w:val="005E30B5"/>
    <w:rsid w:val="005F7F3F"/>
    <w:rsid w:val="00667E87"/>
    <w:rsid w:val="00676DEA"/>
    <w:rsid w:val="006805B0"/>
    <w:rsid w:val="00693A87"/>
    <w:rsid w:val="00707FCE"/>
    <w:rsid w:val="00713F32"/>
    <w:rsid w:val="00713F60"/>
    <w:rsid w:val="007A79F5"/>
    <w:rsid w:val="007D35F3"/>
    <w:rsid w:val="00835B5F"/>
    <w:rsid w:val="00836669"/>
    <w:rsid w:val="00843F6C"/>
    <w:rsid w:val="00853A26"/>
    <w:rsid w:val="008579DF"/>
    <w:rsid w:val="008B2E1C"/>
    <w:rsid w:val="008E065B"/>
    <w:rsid w:val="008E7003"/>
    <w:rsid w:val="00907AF7"/>
    <w:rsid w:val="00955BFF"/>
    <w:rsid w:val="009A2991"/>
    <w:rsid w:val="009B5B31"/>
    <w:rsid w:val="009D2699"/>
    <w:rsid w:val="009E4034"/>
    <w:rsid w:val="009F7A61"/>
    <w:rsid w:val="00A26AE8"/>
    <w:rsid w:val="00A369B3"/>
    <w:rsid w:val="00A451DD"/>
    <w:rsid w:val="00A64762"/>
    <w:rsid w:val="00AC37D7"/>
    <w:rsid w:val="00AC5EF1"/>
    <w:rsid w:val="00AF71C1"/>
    <w:rsid w:val="00B07783"/>
    <w:rsid w:val="00B26310"/>
    <w:rsid w:val="00B537F2"/>
    <w:rsid w:val="00B904A3"/>
    <w:rsid w:val="00B927F1"/>
    <w:rsid w:val="00B95FD7"/>
    <w:rsid w:val="00BB6113"/>
    <w:rsid w:val="00C14B65"/>
    <w:rsid w:val="00C40597"/>
    <w:rsid w:val="00C8219B"/>
    <w:rsid w:val="00C87419"/>
    <w:rsid w:val="00CB7376"/>
    <w:rsid w:val="00CD1390"/>
    <w:rsid w:val="00CE3282"/>
    <w:rsid w:val="00D36324"/>
    <w:rsid w:val="00D44BE3"/>
    <w:rsid w:val="00D605EB"/>
    <w:rsid w:val="00D71D76"/>
    <w:rsid w:val="00D8058A"/>
    <w:rsid w:val="00D82628"/>
    <w:rsid w:val="00DE4B73"/>
    <w:rsid w:val="00E005F8"/>
    <w:rsid w:val="00E02D0C"/>
    <w:rsid w:val="00E14C85"/>
    <w:rsid w:val="00E60674"/>
    <w:rsid w:val="00E6501D"/>
    <w:rsid w:val="00E76CC7"/>
    <w:rsid w:val="00E96484"/>
    <w:rsid w:val="00ED1A20"/>
    <w:rsid w:val="00ED1DA4"/>
    <w:rsid w:val="00ED1E75"/>
    <w:rsid w:val="00EE491B"/>
    <w:rsid w:val="00F140E8"/>
    <w:rsid w:val="00F151C6"/>
    <w:rsid w:val="00F2224A"/>
    <w:rsid w:val="00F43C4F"/>
    <w:rsid w:val="00F50D3E"/>
    <w:rsid w:val="00F55877"/>
    <w:rsid w:val="00F733D8"/>
    <w:rsid w:val="00F74096"/>
    <w:rsid w:val="00F7488F"/>
    <w:rsid w:val="00F81C54"/>
    <w:rsid w:val="00F9040F"/>
    <w:rsid w:val="00FA353D"/>
    <w:rsid w:val="00FE391E"/>
    <w:rsid w:val="00FE5EE4"/>
    <w:rsid w:val="00FE6436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4</cp:revision>
  <cp:lastPrinted>2023-07-12T12:13:00Z</cp:lastPrinted>
  <dcterms:created xsi:type="dcterms:W3CDTF">2023-08-24T08:19:00Z</dcterms:created>
  <dcterms:modified xsi:type="dcterms:W3CDTF">2023-08-24T08:20:00Z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