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384D" w14:textId="77777777" w:rsidR="00202B37" w:rsidRDefault="006855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Hlk532214219"/>
      <w:r w:rsidRPr="00F164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</w:p>
    <w:p w14:paraId="3CC74270" w14:textId="77777777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434C8453" w14:textId="77777777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722FDFD8" w14:textId="77777777" w:rsidR="003C1BF3" w:rsidRDefault="003C1BF3" w:rsidP="003C1BF3">
      <w:pPr>
        <w:pStyle w:val="1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31AB5E60" w14:textId="7F8D16A2" w:rsidR="003C1BF3" w:rsidRDefault="003C1BF3" w:rsidP="003C1BF3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7C1CA697" wp14:editId="3B7B2D7E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5AED" w14:textId="77777777" w:rsidR="003C1BF3" w:rsidRPr="003C1BF3" w:rsidRDefault="003C1BF3" w:rsidP="003C1BF3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1BF3"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14:paraId="23BCE59B" w14:textId="77777777" w:rsidR="003C1BF3" w:rsidRPr="003C1BF3" w:rsidRDefault="003C1BF3" w:rsidP="003C1BF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C1BF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14:paraId="20C124EE" w14:textId="77777777" w:rsidR="003C1BF3" w:rsidRPr="003C1BF3" w:rsidRDefault="003C1BF3" w:rsidP="003C1BF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CB28C17" w14:textId="77777777" w:rsidR="003C1BF3" w:rsidRPr="003C1BF3" w:rsidRDefault="003C1BF3" w:rsidP="003C1BF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B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41C8E27" w14:textId="6A38914B" w:rsidR="003C1BF3" w:rsidRPr="003C1BF3" w:rsidRDefault="003C1BF3" w:rsidP="003C1BF3">
      <w:pPr>
        <w:rPr>
          <w:rFonts w:ascii="Times New Roman" w:hAnsi="Times New Roman" w:cs="Times New Roman"/>
          <w:sz w:val="28"/>
          <w:szCs w:val="28"/>
        </w:rPr>
      </w:pPr>
      <w:r w:rsidRPr="003C1BF3">
        <w:rPr>
          <w:rFonts w:ascii="Times New Roman" w:hAnsi="Times New Roman" w:cs="Times New Roman"/>
          <w:sz w:val="28"/>
          <w:szCs w:val="28"/>
        </w:rPr>
        <w:t xml:space="preserve">от </w:t>
      </w:r>
      <w:r w:rsidRPr="003C1BF3">
        <w:rPr>
          <w:rFonts w:ascii="Times New Roman" w:hAnsi="Times New Roman" w:cs="Times New Roman"/>
          <w:sz w:val="28"/>
          <w:szCs w:val="28"/>
        </w:rPr>
        <w:t>25</w:t>
      </w:r>
      <w:r w:rsidRPr="003C1BF3">
        <w:rPr>
          <w:rFonts w:ascii="Times New Roman" w:hAnsi="Times New Roman" w:cs="Times New Roman"/>
          <w:sz w:val="28"/>
          <w:szCs w:val="28"/>
        </w:rPr>
        <w:t xml:space="preserve">.11.2022                                                                              № </w:t>
      </w:r>
      <w:r w:rsidRPr="003C1BF3">
        <w:rPr>
          <w:rFonts w:ascii="Times New Roman" w:hAnsi="Times New Roman" w:cs="Times New Roman"/>
          <w:sz w:val="28"/>
          <w:szCs w:val="28"/>
        </w:rPr>
        <w:t>1026</w:t>
      </w:r>
      <w:r w:rsidRPr="003C1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6864C0E" w14:textId="2532D2F5" w:rsidR="003C1BF3" w:rsidRPr="003C1BF3" w:rsidRDefault="003C1BF3" w:rsidP="003C1BF3">
      <w:pPr>
        <w:ind w:right="3173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C1BF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9207F6B" w14:textId="77777777" w:rsidR="003C1BF3" w:rsidRPr="003C1BF3" w:rsidRDefault="003C1BF3" w:rsidP="003C1BF3">
      <w:pPr>
        <w:ind w:right="31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1BF3">
        <w:rPr>
          <w:rFonts w:ascii="Times New Roman" w:hAnsi="Times New Roman" w:cs="Times New Roman"/>
          <w:sz w:val="28"/>
          <w:szCs w:val="28"/>
        </w:rPr>
        <w:t xml:space="preserve">                           ст. Новотитаровская</w:t>
      </w:r>
    </w:p>
    <w:p w14:paraId="017BCC95" w14:textId="77777777" w:rsidR="001D79BD" w:rsidRPr="00202B37" w:rsidRDefault="001D79BD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313F7F52" w14:textId="698797D6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  <w:r w:rsidR="006F45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br/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1" w:name="_Hlk508961638"/>
      <w:bookmarkStart w:id="2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1"/>
    </w:p>
    <w:bookmarkEnd w:id="2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77777777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 статьи 59 Устава Новотитаровского сельского поселения                        п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49ECC712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                          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3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на </w:t>
      </w:r>
    </w:p>
    <w:p w14:paraId="59F63E5C" w14:textId="0F1911D6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</w:p>
    <w:p w14:paraId="4FCE0686" w14:textId="77777777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3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374D8B20" w:rsidR="00202B37" w:rsidRPr="00202B37" w:rsidRDefault="00202B37" w:rsidP="00202B37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5. Контроль за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771ECA8" w14:textId="77777777" w:rsidR="00675FB2" w:rsidRDefault="00675FB2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 </w:t>
      </w:r>
      <w:r w:rsidR="00202B37"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</w:p>
    <w:p w14:paraId="0F3A02D5" w14:textId="74D68D1F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С.К. Кошман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8D74A5" w14:textId="77777777" w:rsidR="009D3BF2" w:rsidRDefault="009D3B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07AD2977" w14:textId="4131E678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3C1BF3">
        <w:rPr>
          <w:rFonts w:ascii="Times New Roman" w:eastAsia="Calibri" w:hAnsi="Times New Roman" w:cs="Times New Roman"/>
          <w:sz w:val="28"/>
          <w:szCs w:val="28"/>
          <w:lang w:eastAsia="zh-CN"/>
        </w:rPr>
        <w:t>25.11.2022</w:t>
      </w:r>
      <w:bookmarkStart w:id="4" w:name="_GoBack"/>
      <w:bookmarkEnd w:id="4"/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3C1BF3">
        <w:rPr>
          <w:rFonts w:ascii="Times New Roman" w:eastAsia="Calibri" w:hAnsi="Times New Roman" w:cs="Times New Roman"/>
          <w:sz w:val="28"/>
          <w:szCs w:val="28"/>
          <w:lang w:eastAsia="zh-CN"/>
        </w:rPr>
        <w:t>1026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</w:t>
      </w: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436B010C" w:rsidR="00D26CFA" w:rsidRPr="00EC7987" w:rsidRDefault="001E2524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92 020,71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8032F7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471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5184CD6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62EDFDC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федерального бюджета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7F20D2" w:rsidRP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41 676,6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95958F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20 562,6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5DD3F55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Краснодарского края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1729,6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30587AD5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4DFDBF9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7F20D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45 370,66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финансирование «Благоустройство сквера вдоль, ул. Ейское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D523A18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1E252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8 099,9</w:t>
            </w:r>
            <w:r w:rsidR="00D22BE1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1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0 тыс. руб. воркаут площадка</w:t>
            </w:r>
          </w:p>
          <w:p w14:paraId="035E2931" w14:textId="436CA098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D22BE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10 912,6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6C520AA3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4 079,85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финансирование общественной территории по ул. Таманской в ст. Новотитаровской «Сквер Таманский» (согласно приказа мин. ТЭК и ЖКХ Краснодарского края от 14.09.2021 №414);</w:t>
            </w:r>
          </w:p>
          <w:p w14:paraId="32A5F1D5" w14:textId="29736FA3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8C21A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1312,0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проектная документация;</w:t>
            </w:r>
          </w:p>
          <w:p w14:paraId="57A7CB1A" w14:textId="4476ABFB" w:rsidR="002B5975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4 920,75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562769BE" w14:textId="1956CB18" w:rsidR="009F7479" w:rsidRPr="00EC7987" w:rsidRDefault="009F7479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установка систем видеонаблюдения на общественных территориях.</w:t>
            </w:r>
          </w:p>
          <w:p w14:paraId="4928B36A" w14:textId="19019E3F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9C3D78E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Контроль за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3741E8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9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софинансируются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может предусматривать мероприятия по цифровизации городского хозяйства, предусмотренные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711/пр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Адресные перечни дворовых территорий многоквартирных домов и 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0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 СВОДНЫХ ПОКАЗАТЕЛЕЙ МУНИЦИПАЛЬНЫХ ЗАДАНИЙ НА</w:t>
      </w:r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КОНТРОЛЬ ЗА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инструменты общественного контроля за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47. Контроль за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465222">
          <w:pgSz w:w="11906" w:h="16838"/>
          <w:pgMar w:top="695" w:right="850" w:bottom="709" w:left="1701" w:header="708" w:footer="708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91"/>
        <w:gridCol w:w="1692"/>
        <w:gridCol w:w="1110"/>
        <w:gridCol w:w="450"/>
        <w:gridCol w:w="450"/>
        <w:gridCol w:w="450"/>
        <w:gridCol w:w="450"/>
        <w:gridCol w:w="900"/>
        <w:gridCol w:w="900"/>
        <w:gridCol w:w="900"/>
        <w:gridCol w:w="900"/>
        <w:gridCol w:w="900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4393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91"/>
        <w:gridCol w:w="1692"/>
        <w:gridCol w:w="1560"/>
        <w:gridCol w:w="900"/>
        <w:gridCol w:w="450"/>
        <w:gridCol w:w="900"/>
        <w:gridCol w:w="900"/>
        <w:gridCol w:w="900"/>
        <w:gridCol w:w="900"/>
        <w:gridCol w:w="900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1275"/>
        <w:gridCol w:w="577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FB2C10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577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1275" w:type="dxa"/>
            <w:shd w:val="clear" w:color="auto" w:fill="auto"/>
          </w:tcPr>
          <w:p w14:paraId="45E1116C" w14:textId="7F343692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10 912,6</w:t>
            </w:r>
          </w:p>
        </w:tc>
        <w:tc>
          <w:tcPr>
            <w:tcW w:w="577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50DA6B" w14:textId="00CC5AD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56DB40" w14:textId="2353C8EA" w:rsidR="00D26CFA" w:rsidRPr="00D26CFA" w:rsidRDefault="00FB2C10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FB2C10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FB2C10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софинансирования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6023C0" w14:textId="17D3F187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4 079,85</w:t>
            </w:r>
          </w:p>
        </w:tc>
        <w:tc>
          <w:tcPr>
            <w:tcW w:w="577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A2D8E8" w14:textId="121C3DF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329D9C" w14:textId="4A897DC8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FB2C10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1275" w:type="dxa"/>
            <w:shd w:val="clear" w:color="auto" w:fill="auto"/>
          </w:tcPr>
          <w:p w14:paraId="2663358C" w14:textId="0BAFE867" w:rsidR="00D26CFA" w:rsidRPr="00D26CFA" w:rsidRDefault="001E2524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4 920,75</w:t>
            </w:r>
          </w:p>
        </w:tc>
        <w:tc>
          <w:tcPr>
            <w:tcW w:w="577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FB2C10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 Проектирование и государственная 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14:paraId="71876D27" w14:textId="26DBF53B" w:rsidR="00D26CFA" w:rsidRPr="00D26CFA" w:rsidRDefault="004F7E4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  <w:r w:rsidR="00054D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312</w:t>
            </w:r>
          </w:p>
        </w:tc>
        <w:tc>
          <w:tcPr>
            <w:tcW w:w="577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FB2C10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территория по ул. Таманской</w:t>
            </w:r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660"/>
        <w:gridCol w:w="3763"/>
        <w:gridCol w:w="3780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с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утвержденных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Советской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7BAD3E1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 А</w:t>
            </w:r>
          </w:p>
        </w:tc>
        <w:tc>
          <w:tcPr>
            <w:tcW w:w="3943" w:type="dxa"/>
          </w:tcPr>
          <w:p w14:paraId="6D19F285" w14:textId="26A0BF47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9000A7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 А</w:t>
            </w:r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0FB72B6D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000A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ул. Прогонная</w:t>
            </w:r>
          </w:p>
        </w:tc>
        <w:tc>
          <w:tcPr>
            <w:tcW w:w="3943" w:type="dxa"/>
          </w:tcPr>
          <w:p w14:paraId="33FBCABE" w14:textId="6F763B8A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43 А</w:t>
            </w:r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120DA533" w:rsidR="00986369" w:rsidRPr="00283817" w:rsidRDefault="00C91D8A" w:rsidP="002838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  <w:bookmarkEnd w:id="19"/>
    </w:p>
    <w:sectPr w:rsidR="00986369" w:rsidRPr="00283817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ECE0" w14:textId="77777777" w:rsidR="00106942" w:rsidRDefault="00106942" w:rsidP="003D718F">
      <w:pPr>
        <w:spacing w:after="0" w:line="240" w:lineRule="auto"/>
      </w:pPr>
      <w:r>
        <w:separator/>
      </w:r>
    </w:p>
  </w:endnote>
  <w:endnote w:type="continuationSeparator" w:id="0">
    <w:p w14:paraId="05AAECF3" w14:textId="77777777" w:rsidR="00106942" w:rsidRDefault="00106942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E642" w14:textId="77777777" w:rsidR="00106942" w:rsidRDefault="00106942" w:rsidP="003D718F">
      <w:pPr>
        <w:spacing w:after="0" w:line="240" w:lineRule="auto"/>
      </w:pPr>
      <w:r>
        <w:separator/>
      </w:r>
    </w:p>
  </w:footnote>
  <w:footnote w:type="continuationSeparator" w:id="0">
    <w:p w14:paraId="59D9998B" w14:textId="77777777" w:rsidR="00106942" w:rsidRDefault="00106942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D5"/>
    <w:rsid w:val="00021F9E"/>
    <w:rsid w:val="00054D34"/>
    <w:rsid w:val="00065DF6"/>
    <w:rsid w:val="00077D23"/>
    <w:rsid w:val="000814E6"/>
    <w:rsid w:val="000860C4"/>
    <w:rsid w:val="00096DDB"/>
    <w:rsid w:val="000C3C34"/>
    <w:rsid w:val="00104EA9"/>
    <w:rsid w:val="00106942"/>
    <w:rsid w:val="00117803"/>
    <w:rsid w:val="00145EC2"/>
    <w:rsid w:val="00172FC5"/>
    <w:rsid w:val="00177594"/>
    <w:rsid w:val="001A2908"/>
    <w:rsid w:val="001D3427"/>
    <w:rsid w:val="001D79BD"/>
    <w:rsid w:val="001E12FF"/>
    <w:rsid w:val="001E20DA"/>
    <w:rsid w:val="001E21B3"/>
    <w:rsid w:val="001E2524"/>
    <w:rsid w:val="001F1302"/>
    <w:rsid w:val="001F6695"/>
    <w:rsid w:val="00202B37"/>
    <w:rsid w:val="00211E02"/>
    <w:rsid w:val="002312A7"/>
    <w:rsid w:val="00234817"/>
    <w:rsid w:val="002513CF"/>
    <w:rsid w:val="00266DED"/>
    <w:rsid w:val="00283817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1BF3"/>
    <w:rsid w:val="003C2003"/>
    <w:rsid w:val="003D6AB5"/>
    <w:rsid w:val="003D718F"/>
    <w:rsid w:val="003E59D5"/>
    <w:rsid w:val="004258B9"/>
    <w:rsid w:val="004324F6"/>
    <w:rsid w:val="00457935"/>
    <w:rsid w:val="004600E0"/>
    <w:rsid w:val="00465222"/>
    <w:rsid w:val="004B3EC8"/>
    <w:rsid w:val="004D1EE8"/>
    <w:rsid w:val="004F7E47"/>
    <w:rsid w:val="00515BC2"/>
    <w:rsid w:val="0051721F"/>
    <w:rsid w:val="005451A5"/>
    <w:rsid w:val="005F7C7A"/>
    <w:rsid w:val="006222A7"/>
    <w:rsid w:val="0063217F"/>
    <w:rsid w:val="0065391F"/>
    <w:rsid w:val="00667D5B"/>
    <w:rsid w:val="00675FB2"/>
    <w:rsid w:val="006855F2"/>
    <w:rsid w:val="00687051"/>
    <w:rsid w:val="00692F15"/>
    <w:rsid w:val="00693810"/>
    <w:rsid w:val="006B52E8"/>
    <w:rsid w:val="006C15D0"/>
    <w:rsid w:val="006D0565"/>
    <w:rsid w:val="006F454D"/>
    <w:rsid w:val="00706230"/>
    <w:rsid w:val="00725D6D"/>
    <w:rsid w:val="00725FED"/>
    <w:rsid w:val="00781D1E"/>
    <w:rsid w:val="007B3A51"/>
    <w:rsid w:val="007F20D2"/>
    <w:rsid w:val="008003E1"/>
    <w:rsid w:val="008252CB"/>
    <w:rsid w:val="008472C7"/>
    <w:rsid w:val="00866A04"/>
    <w:rsid w:val="00880F82"/>
    <w:rsid w:val="008C21AF"/>
    <w:rsid w:val="009000A7"/>
    <w:rsid w:val="009071AF"/>
    <w:rsid w:val="00924C07"/>
    <w:rsid w:val="00933E05"/>
    <w:rsid w:val="00962797"/>
    <w:rsid w:val="00971562"/>
    <w:rsid w:val="00986369"/>
    <w:rsid w:val="00994FC5"/>
    <w:rsid w:val="009D3BF2"/>
    <w:rsid w:val="009E23C3"/>
    <w:rsid w:val="009E2983"/>
    <w:rsid w:val="009F058B"/>
    <w:rsid w:val="009F7479"/>
    <w:rsid w:val="00A014FF"/>
    <w:rsid w:val="00A616A4"/>
    <w:rsid w:val="00A61B88"/>
    <w:rsid w:val="00A66545"/>
    <w:rsid w:val="00AB21FD"/>
    <w:rsid w:val="00AF1399"/>
    <w:rsid w:val="00B04884"/>
    <w:rsid w:val="00B42C08"/>
    <w:rsid w:val="00B46EA0"/>
    <w:rsid w:val="00B520C8"/>
    <w:rsid w:val="00B531EE"/>
    <w:rsid w:val="00B87964"/>
    <w:rsid w:val="00B9178E"/>
    <w:rsid w:val="00BA6747"/>
    <w:rsid w:val="00BB4244"/>
    <w:rsid w:val="00BF582B"/>
    <w:rsid w:val="00C20E0F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2BE1"/>
    <w:rsid w:val="00D26CFA"/>
    <w:rsid w:val="00D617A6"/>
    <w:rsid w:val="00D66CE5"/>
    <w:rsid w:val="00DD5E8C"/>
    <w:rsid w:val="00E01973"/>
    <w:rsid w:val="00E0764D"/>
    <w:rsid w:val="00E24EEB"/>
    <w:rsid w:val="00E305BC"/>
    <w:rsid w:val="00E420AF"/>
    <w:rsid w:val="00E914E6"/>
    <w:rsid w:val="00EB1376"/>
    <w:rsid w:val="00EB2E84"/>
    <w:rsid w:val="00EC7987"/>
    <w:rsid w:val="00F02779"/>
    <w:rsid w:val="00F1649E"/>
    <w:rsid w:val="00F17BD1"/>
    <w:rsid w:val="00F20DBB"/>
    <w:rsid w:val="00FA5AE4"/>
    <w:rsid w:val="00FB2C10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  <w15:chartTrackingRefBased/>
  <w15:docId w15:val="{EE15706B-EB45-467A-A98E-600C161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1E"/>
  </w:style>
  <w:style w:type="paragraph" w:styleId="1">
    <w:name w:val="heading 1"/>
    <w:basedOn w:val="a"/>
    <w:next w:val="a"/>
    <w:link w:val="10"/>
    <w:uiPriority w:val="9"/>
    <w:qFormat/>
    <w:rsid w:val="003C1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2993900BF9ACBF6A47F37C0FA5ED4B3B7E5E6ED575711A49796FE60EE7A39360F1E741k6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A6DE-43A6-459C-A3A2-55BD0A02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28</Pages>
  <Words>8861</Words>
  <Characters>50509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ASUS</cp:lastModifiedBy>
  <cp:revision>5</cp:revision>
  <cp:lastPrinted>2022-11-28T05:50:00Z</cp:lastPrinted>
  <dcterms:created xsi:type="dcterms:W3CDTF">2022-07-29T11:33:00Z</dcterms:created>
  <dcterms:modified xsi:type="dcterms:W3CDTF">2022-11-28T10:36:00Z</dcterms:modified>
</cp:coreProperties>
</file>