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162B" w14:textId="77777777" w:rsidR="00380D0C" w:rsidRPr="00380D0C" w:rsidRDefault="00380D0C" w:rsidP="00380D0C">
      <w:pPr>
        <w:widowControl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380D0C" w:rsidRPr="00380D0C" w14:paraId="488B8011" w14:textId="77777777" w:rsidTr="002E08F5">
        <w:tc>
          <w:tcPr>
            <w:tcW w:w="4503" w:type="dxa"/>
          </w:tcPr>
          <w:p w14:paraId="385E1AA1" w14:textId="77777777" w:rsidR="00380D0C" w:rsidRPr="00380D0C" w:rsidRDefault="00380D0C" w:rsidP="00380D0C">
            <w:pPr>
              <w:widowControl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14:paraId="0D30765F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1739D2DC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05B0C2E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5FEEF469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</w:t>
            </w:r>
          </w:p>
          <w:p w14:paraId="6D2346B8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Динского района</w:t>
            </w:r>
          </w:p>
          <w:p w14:paraId="7D5CF43B" w14:textId="30409621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29.09.2022 </w:t>
            </w: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797</w:t>
            </w:r>
            <w:bookmarkStart w:id="0" w:name="_GoBack"/>
            <w:bookmarkEnd w:id="0"/>
          </w:p>
          <w:p w14:paraId="72127125" w14:textId="77777777" w:rsidR="00380D0C" w:rsidRPr="00380D0C" w:rsidRDefault="00380D0C" w:rsidP="00380D0C">
            <w:pPr>
              <w:widowControl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BCEE1C" w14:textId="77777777" w:rsidR="00380D0C" w:rsidRPr="00380D0C" w:rsidRDefault="00380D0C" w:rsidP="00380D0C">
      <w:pPr>
        <w:widowControl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076B29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A6C636" w14:textId="77777777" w:rsidR="00380D0C" w:rsidRPr="00380D0C" w:rsidRDefault="00380D0C" w:rsidP="00380D0C">
      <w:pPr>
        <w:keepNext/>
        <w:widowControl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80D0C">
        <w:rPr>
          <w:rFonts w:ascii="Times New Roman" w:eastAsiaTheme="minorEastAsia" w:hAnsi="Times New Roman" w:cs="Times New Roman"/>
          <w:b/>
          <w:bCs/>
          <w:color w:val="00000A"/>
          <w:sz w:val="28"/>
          <w:szCs w:val="28"/>
          <w:lang w:eastAsia="ru-RU"/>
        </w:rPr>
        <w:t>Техническое задание на разработку инвестиционной программы</w:t>
      </w:r>
    </w:p>
    <w:p w14:paraId="690EAF93" w14:textId="77777777" w:rsidR="00380D0C" w:rsidRPr="00380D0C" w:rsidRDefault="00380D0C" w:rsidP="00380D0C">
      <w:pPr>
        <w:keepNext/>
        <w:widowControl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80D0C">
        <w:rPr>
          <w:rFonts w:ascii="Times New Roman" w:eastAsiaTheme="minorEastAsia" w:hAnsi="Times New Roman" w:cs="Times New Roman"/>
          <w:b/>
          <w:bCs/>
          <w:color w:val="00000A"/>
          <w:sz w:val="28"/>
          <w:szCs w:val="28"/>
          <w:lang w:eastAsia="ru-RU"/>
        </w:rPr>
        <w:t>МУП "Коммунальник" в сфере водоотведения муниципального образования Новотитаровское сельское поселение Динского района на 2023-2025 годы</w:t>
      </w:r>
    </w:p>
    <w:p w14:paraId="73728FD0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04109B" w14:textId="77777777" w:rsidR="00380D0C" w:rsidRPr="00380D0C" w:rsidRDefault="00380D0C" w:rsidP="00380D0C">
      <w:pPr>
        <w:widowControl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Основанием для разработки инвестиционной программы (далее по тексту инвестиционная программа) МУП "Коммунальник" по развитию в сфере водоотведения на территории муниципального образования Новотитаровское сельское поселение Динского района являются:</w:t>
      </w:r>
    </w:p>
    <w:p w14:paraId="6FFDCF77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hyperlink r:id="rId4">
        <w:r w:rsidRPr="00380D0C">
          <w:rPr>
            <w:rFonts w:ascii="Times New Roman" w:eastAsiaTheme="minorEastAsia" w:hAnsi="Times New Roman" w:cs="Times New Roman"/>
            <w:color w:val="00000A"/>
            <w:sz w:val="28"/>
            <w:szCs w:val="28"/>
            <w:lang w:eastAsia="ru-RU"/>
          </w:rPr>
          <w:t>Федеральный закон</w:t>
        </w:r>
      </w:hyperlink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07.12.2011 №416-ФЗ "О водоснабжении и водоотведении";</w:t>
      </w:r>
    </w:p>
    <w:p w14:paraId="770CFB2B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Схема водоотведения Новотитаровского сельского поселение Динского района Краснодарского края на период с 2019 по 2029 года;</w:t>
      </w:r>
    </w:p>
    <w:p w14:paraId="480C9309" w14:textId="77777777" w:rsidR="00380D0C" w:rsidRPr="00380D0C" w:rsidRDefault="00380D0C" w:rsidP="00380D0C">
      <w:pPr>
        <w:widowControl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hyperlink r:id="rId5">
        <w:r w:rsidRPr="00380D0C">
          <w:rPr>
            <w:rFonts w:ascii="Times New Roman" w:eastAsiaTheme="minorEastAsia" w:hAnsi="Times New Roman" w:cs="Times New Roman"/>
            <w:color w:val="00000A"/>
            <w:sz w:val="28"/>
            <w:szCs w:val="28"/>
            <w:lang w:eastAsia="ru-RU"/>
          </w:rPr>
          <w:t>Постановлением</w:t>
        </w:r>
      </w:hyperlink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29.07.2013 № 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14:paraId="2571A832" w14:textId="77777777" w:rsidR="00380D0C" w:rsidRPr="00380D0C" w:rsidRDefault="00380D0C" w:rsidP="00380D0C">
      <w:pPr>
        <w:widowControl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Подключение объектов капитального строительства абонентов, в    2023-2025 годах не предусмотрено ввиду ограниченной мощности, производительности оборудования КНС и очистных сооружений.</w:t>
      </w:r>
    </w:p>
    <w:p w14:paraId="144E5D89" w14:textId="77777777" w:rsidR="00380D0C" w:rsidRPr="00380D0C" w:rsidRDefault="00380D0C" w:rsidP="00380D0C">
      <w:pPr>
        <w:widowControl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3.Плановые значения показателей надежности качества и энергетической эффективности объектов централизованной системы водоотведения:</w:t>
      </w:r>
    </w:p>
    <w:p w14:paraId="1D66FC4E" w14:textId="77777777" w:rsidR="00380D0C" w:rsidRPr="00380D0C" w:rsidRDefault="00380D0C" w:rsidP="00380D0C">
      <w:pPr>
        <w:widowControl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EA0445" w14:textId="77777777" w:rsidR="00380D0C" w:rsidRPr="00380D0C" w:rsidRDefault="00380D0C" w:rsidP="00380D0C">
      <w:pPr>
        <w:widowControl w:val="0"/>
        <w:spacing w:after="0" w:line="240" w:lineRule="auto"/>
        <w:ind w:left="142" w:right="566" w:firstLine="142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Style w:val="a3"/>
        <w:tblW w:w="934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8"/>
        <w:gridCol w:w="2237"/>
        <w:gridCol w:w="2720"/>
        <w:gridCol w:w="1466"/>
        <w:gridCol w:w="854"/>
        <w:gridCol w:w="855"/>
        <w:gridCol w:w="854"/>
      </w:tblGrid>
      <w:tr w:rsidR="00380D0C" w:rsidRPr="00380D0C" w14:paraId="4683FC6A" w14:textId="77777777" w:rsidTr="002E08F5">
        <w:tc>
          <w:tcPr>
            <w:tcW w:w="357" w:type="dxa"/>
            <w:shd w:val="clear" w:color="auto" w:fill="auto"/>
            <w:tcMar>
              <w:left w:w="98" w:type="dxa"/>
            </w:tcMar>
          </w:tcPr>
          <w:p w14:paraId="36B28CEE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14:paraId="7AD55356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20" w:type="dxa"/>
            <w:shd w:val="clear" w:color="auto" w:fill="auto"/>
            <w:tcMar>
              <w:left w:w="98" w:type="dxa"/>
            </w:tcMar>
          </w:tcPr>
          <w:p w14:paraId="64EAF204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Данные, используемые для установления показателя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</w:tcPr>
          <w:p w14:paraId="24537353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307BF1E6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14:paraId="1DFBC79E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5F25C1AD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380D0C" w:rsidRPr="00380D0C" w14:paraId="7255FFAC" w14:textId="77777777" w:rsidTr="002E08F5">
        <w:tc>
          <w:tcPr>
            <w:tcW w:w="357" w:type="dxa"/>
            <w:vMerge w:val="restart"/>
            <w:shd w:val="clear" w:color="auto" w:fill="auto"/>
            <w:tcMar>
              <w:left w:w="98" w:type="dxa"/>
            </w:tcMar>
          </w:tcPr>
          <w:p w14:paraId="50773DEE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dxa"/>
            <w:vMerge w:val="restart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14:paraId="098FC1FC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80D0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Качество очистки сточных вод</w:t>
            </w:r>
          </w:p>
        </w:tc>
        <w:tc>
          <w:tcPr>
            <w:tcW w:w="2720" w:type="dxa"/>
            <w:shd w:val="clear" w:color="auto" w:fill="auto"/>
            <w:tcMar>
              <w:left w:w="98" w:type="dxa"/>
            </w:tcMar>
          </w:tcPr>
          <w:p w14:paraId="6B1190F3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сточных вод, не подвергающиеся очистке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</w:tcPr>
          <w:p w14:paraId="1BF2A128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461D3E24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14:paraId="6AE5D746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0E807D5D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0D0C" w:rsidRPr="00380D0C" w14:paraId="49FEB4D6" w14:textId="77777777" w:rsidTr="002E08F5">
        <w:tc>
          <w:tcPr>
            <w:tcW w:w="357" w:type="dxa"/>
            <w:vMerge/>
            <w:shd w:val="clear" w:color="auto" w:fill="auto"/>
            <w:tcMar>
              <w:left w:w="98" w:type="dxa"/>
            </w:tcMar>
          </w:tcPr>
          <w:p w14:paraId="683E4DBC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14:paraId="39392700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tcMar>
              <w:left w:w="98" w:type="dxa"/>
            </w:tcMar>
          </w:tcPr>
          <w:p w14:paraId="6099EE95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поверхностных сточных вод, не подвергающиеся очистке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</w:tcPr>
          <w:p w14:paraId="0C62C43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440D3B28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14:paraId="4AA33F94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73CAE6A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0D0C" w:rsidRPr="00380D0C" w14:paraId="0C3CABFB" w14:textId="77777777" w:rsidTr="002E08F5">
        <w:tc>
          <w:tcPr>
            <w:tcW w:w="357" w:type="dxa"/>
            <w:vMerge/>
            <w:shd w:val="clear" w:color="auto" w:fill="auto"/>
            <w:tcMar>
              <w:left w:w="98" w:type="dxa"/>
            </w:tcMar>
          </w:tcPr>
          <w:p w14:paraId="4B6C4371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14:paraId="13642DC1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tcMar>
              <w:left w:w="98" w:type="dxa"/>
            </w:tcMar>
          </w:tcPr>
          <w:p w14:paraId="053C0794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80D0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Доля проб сточных </w:t>
            </w:r>
            <w:r w:rsidRPr="00380D0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вод, не соответствующих установленным нормативам допустимых сбросов, лимитам на сбросы для централизованной системы водоотведения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</w:tcPr>
          <w:p w14:paraId="6AFB70A9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4B1DF09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14:paraId="56A2B72D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3B5A24A5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D0C" w:rsidRPr="00380D0C" w14:paraId="5305061D" w14:textId="77777777" w:rsidTr="002E08F5">
        <w:tc>
          <w:tcPr>
            <w:tcW w:w="35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E9E6E17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6EF21AC8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80D0C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Надежность и бесперебойность водоотведения</w:t>
            </w:r>
          </w:p>
        </w:tc>
        <w:tc>
          <w:tcPr>
            <w:tcW w:w="272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8FA4DDC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 надежности и бесперебойности водоотведения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589DDA5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508CBEB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ед.км.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D83F36E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A1E7C8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E9B4DE3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707BBF5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EC26C37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3BE3507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0D0C" w:rsidRPr="00380D0C" w14:paraId="3E2B01CC" w14:textId="77777777" w:rsidTr="002E08F5">
        <w:tc>
          <w:tcPr>
            <w:tcW w:w="357" w:type="dxa"/>
            <w:shd w:val="clear" w:color="auto" w:fill="auto"/>
            <w:tcMar>
              <w:left w:w="98" w:type="dxa"/>
            </w:tcMar>
          </w:tcPr>
          <w:p w14:paraId="02C865B3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7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14:paraId="5CF22B5D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Энергетическая Эффективность использования ресурсов</w:t>
            </w:r>
          </w:p>
        </w:tc>
        <w:tc>
          <w:tcPr>
            <w:tcW w:w="2720" w:type="dxa"/>
            <w:shd w:val="clear" w:color="auto" w:fill="auto"/>
            <w:tcMar>
              <w:left w:w="98" w:type="dxa"/>
            </w:tcMar>
          </w:tcPr>
          <w:p w14:paraId="5176767D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расход электроэнергии потребляемом в технологическом процессе транспортировки сточных вод</w:t>
            </w:r>
          </w:p>
        </w:tc>
        <w:tc>
          <w:tcPr>
            <w:tcW w:w="1466" w:type="dxa"/>
            <w:shd w:val="clear" w:color="auto" w:fill="auto"/>
            <w:tcMar>
              <w:left w:w="98" w:type="dxa"/>
            </w:tcMar>
          </w:tcPr>
          <w:p w14:paraId="48AC72E0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ABFD092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BB138AC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Квт/ч. Куб.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68D7EAD6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E58F11A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52658B8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14:paraId="5B2688B9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058010A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B2CC2AF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54" w:type="dxa"/>
            <w:shd w:val="clear" w:color="auto" w:fill="auto"/>
            <w:tcMar>
              <w:left w:w="98" w:type="dxa"/>
            </w:tcMar>
          </w:tcPr>
          <w:p w14:paraId="7F359CB2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6C952DF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47D18BE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</w:tbl>
    <w:p w14:paraId="12F0C19C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112838202"/>
      <w:bookmarkEnd w:id="1"/>
    </w:p>
    <w:p w14:paraId="394030A0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_DdeLink__890_2253109244"/>
      <w:bookmarkEnd w:id="2"/>
      <w:r w:rsidRPr="00380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4.Перечень мероприятий по строительству, модернизаций и (или) реконструкций объектов водоотведения.</w:t>
      </w:r>
    </w:p>
    <w:tbl>
      <w:tblPr>
        <w:tblStyle w:val="a3"/>
        <w:tblW w:w="934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11"/>
        <w:gridCol w:w="2273"/>
        <w:gridCol w:w="2281"/>
        <w:gridCol w:w="2279"/>
      </w:tblGrid>
      <w:tr w:rsidR="00380D0C" w:rsidRPr="00380D0C" w14:paraId="71765C9E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6E96316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12F14C7A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4E0FB013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4AE294E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</w:tr>
      <w:tr w:rsidR="00380D0C" w:rsidRPr="00380D0C" w14:paraId="22E6703A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64CC1447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Установка прибора учета фактического объема сточных вод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0432E3CE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2F59FA8D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29EDCD37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380D0C" w:rsidRPr="00380D0C" w14:paraId="16AF62E7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7D6C3237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Замена асбестоцементного трубопровода </w:t>
            </w:r>
            <w:r w:rsidRPr="00380D0C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Ø о</w:t>
            </w: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 50 до 200 мм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3ACF5D52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403BD7A6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52CCD25F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380D0C" w:rsidRPr="00380D0C" w14:paraId="1D3B2325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6171E9F8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Замена асбестоцементного трубопровода </w:t>
            </w:r>
            <w:r w:rsidRPr="00380D0C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Ø о</w:t>
            </w: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 50 до 200 мм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6A29B5D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5D311440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3EE2C8B8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380D0C" w:rsidRPr="00380D0C" w14:paraId="6500DC2C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00C0164A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Замена асбестоцементного трубопровода </w:t>
            </w:r>
            <w:r w:rsidRPr="00380D0C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Ø о</w:t>
            </w: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 50 до 200 мм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6423D22C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4D42D227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17850440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380D0C" w:rsidRPr="00380D0C" w14:paraId="4912A936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6D0B646A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Реконструкция приемных или промежуточных колодцев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69182DF1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5FA76512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33DD3A4F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2023, 2024, 2025</w:t>
            </w:r>
          </w:p>
        </w:tc>
      </w:tr>
      <w:tr w:rsidR="00380D0C" w:rsidRPr="00380D0C" w14:paraId="65A57A46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6BF26584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Установка частотного преобразователя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4D2D5E2E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6082F3D5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1AD12C84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380D0C" w:rsidRPr="00380D0C" w14:paraId="5537FC07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1850C3B9" w14:textId="77777777" w:rsidR="00380D0C" w:rsidRPr="00380D0C" w:rsidRDefault="00380D0C" w:rsidP="00380D0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Строительство отмостки здания (с гидроизоляцией)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6D714015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2CB46875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201809AD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380D0C" w:rsidRPr="00380D0C" w14:paraId="70F767A5" w14:textId="77777777" w:rsidTr="002E08F5">
        <w:tc>
          <w:tcPr>
            <w:tcW w:w="2510" w:type="dxa"/>
            <w:shd w:val="clear" w:color="auto" w:fill="auto"/>
            <w:tcMar>
              <w:left w:w="98" w:type="dxa"/>
            </w:tcMar>
          </w:tcPr>
          <w:p w14:paraId="5FCC6BA3" w14:textId="77777777" w:rsidR="00380D0C" w:rsidRPr="00380D0C" w:rsidRDefault="00380D0C" w:rsidP="00380D0C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и монтаж ДЭСК</w:t>
            </w:r>
          </w:p>
        </w:tc>
        <w:tc>
          <w:tcPr>
            <w:tcW w:w="2273" w:type="dxa"/>
            <w:shd w:val="clear" w:color="auto" w:fill="auto"/>
            <w:tcMar>
              <w:left w:w="98" w:type="dxa"/>
            </w:tcMar>
          </w:tcPr>
          <w:p w14:paraId="404A36EA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281" w:type="dxa"/>
            <w:shd w:val="clear" w:color="auto" w:fill="auto"/>
            <w:tcMar>
              <w:left w:w="98" w:type="dxa"/>
            </w:tcMar>
          </w:tcPr>
          <w:p w14:paraId="7A297BA8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9" w:type="dxa"/>
            <w:shd w:val="clear" w:color="auto" w:fill="auto"/>
            <w:tcMar>
              <w:left w:w="98" w:type="dxa"/>
            </w:tcMar>
          </w:tcPr>
          <w:p w14:paraId="2479D544" w14:textId="77777777" w:rsidR="00380D0C" w:rsidRPr="00380D0C" w:rsidRDefault="00380D0C" w:rsidP="00380D0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80D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</w:tbl>
    <w:p w14:paraId="5E500BE4" w14:textId="77777777" w:rsidR="00380D0C" w:rsidRPr="00380D0C" w:rsidRDefault="00380D0C" w:rsidP="00380D0C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E519D9" w14:textId="77777777" w:rsidR="00380D0C" w:rsidRPr="00380D0C" w:rsidRDefault="00380D0C" w:rsidP="00380D0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D6283" w14:textId="77777777" w:rsidR="00380D0C" w:rsidRPr="00380D0C" w:rsidRDefault="00380D0C" w:rsidP="00380D0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9B0EAD" w14:textId="77777777" w:rsidR="008D021D" w:rsidRDefault="008D021D"/>
    <w:sectPr w:rsidR="008D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1D"/>
    <w:rsid w:val="00380D0C"/>
    <w:rsid w:val="008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85F"/>
  <w15:chartTrackingRefBased/>
  <w15:docId w15:val="{90D82BFF-55C9-4012-A675-F8DEE5D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D0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70427186/0" TargetMode="External"/><Relationship Id="rId4" Type="http://schemas.openxmlformats.org/officeDocument/2006/relationships/hyperlink" Target="http://municipal.garant.ru/document/redirect/701030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2022-09-30T10:22:00Z</dcterms:created>
  <dcterms:modified xsi:type="dcterms:W3CDTF">2022-09-30T10:23:00Z</dcterms:modified>
</cp:coreProperties>
</file>