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98"/>
      </w:tblGrid>
      <w:tr w:rsidR="009508BB" w:rsidRPr="00EE428D" w:rsidTr="00336403">
        <w:trPr>
          <w:trHeight w:val="1989"/>
        </w:trPr>
        <w:tc>
          <w:tcPr>
            <w:tcW w:w="4898" w:type="dxa"/>
            <w:shd w:val="clear" w:color="auto" w:fill="auto"/>
          </w:tcPr>
          <w:p w:rsidR="009508BB" w:rsidRPr="00EE428D" w:rsidRDefault="009508BB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508BB" w:rsidRPr="00EE428D" w:rsidRDefault="009508BB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  Новотитаровского сельского поселения Динского района</w:t>
            </w:r>
          </w:p>
          <w:p w:rsidR="009508BB" w:rsidRPr="00EE428D" w:rsidRDefault="009508BB" w:rsidP="0033640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0C7E0F"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  <w:bookmarkStart w:id="0" w:name="_GoBack"/>
            <w:bookmarkEnd w:id="0"/>
            <w:proofErr w:type="gramEnd"/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E0F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</w:tbl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09D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9DA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956EB">
        <w:rPr>
          <w:rFonts w:ascii="Times New Roman" w:hAnsi="Times New Roman" w:cs="Times New Roman"/>
          <w:sz w:val="28"/>
          <w:szCs w:val="28"/>
        </w:rPr>
        <w:t>22</w:t>
      </w:r>
      <w:r w:rsidR="001A413F">
        <w:rPr>
          <w:rFonts w:ascii="Times New Roman" w:hAnsi="Times New Roman" w:cs="Times New Roman"/>
          <w:sz w:val="28"/>
          <w:szCs w:val="28"/>
        </w:rPr>
        <w:t>-202</w:t>
      </w:r>
      <w:r w:rsidR="009956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A413F">
        <w:rPr>
          <w:rFonts w:ascii="Times New Roman" w:hAnsi="Times New Roman" w:cs="Times New Roman"/>
          <w:sz w:val="28"/>
          <w:szCs w:val="28"/>
        </w:rPr>
        <w:t>ы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D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508BB" w:rsidRPr="004709DA" w:rsidRDefault="009508BB" w:rsidP="009508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09DA">
        <w:rPr>
          <w:rFonts w:ascii="Times New Roman" w:hAnsi="Times New Roman" w:cs="Times New Roman"/>
          <w:sz w:val="28"/>
          <w:szCs w:val="28"/>
        </w:rPr>
        <w:t xml:space="preserve"> программы «Противодействие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Новотитаровском</w:t>
      </w:r>
      <w:r w:rsidRPr="004709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4709DA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B35958">
        <w:rPr>
          <w:rFonts w:ascii="Times New Roman" w:hAnsi="Times New Roman" w:cs="Times New Roman"/>
          <w:sz w:val="28"/>
          <w:szCs w:val="28"/>
        </w:rPr>
        <w:t>20</w:t>
      </w:r>
      <w:r w:rsidR="009956EB">
        <w:rPr>
          <w:rFonts w:ascii="Times New Roman" w:hAnsi="Times New Roman" w:cs="Times New Roman"/>
          <w:sz w:val="28"/>
          <w:szCs w:val="28"/>
        </w:rPr>
        <w:t>22</w:t>
      </w:r>
      <w:r w:rsidR="00B35958">
        <w:rPr>
          <w:rFonts w:ascii="Times New Roman" w:hAnsi="Times New Roman" w:cs="Times New Roman"/>
          <w:sz w:val="28"/>
          <w:szCs w:val="28"/>
        </w:rPr>
        <w:t>-202</w:t>
      </w:r>
      <w:r w:rsidR="009956EB">
        <w:rPr>
          <w:rFonts w:ascii="Times New Roman" w:hAnsi="Times New Roman" w:cs="Times New Roman"/>
          <w:sz w:val="28"/>
          <w:szCs w:val="28"/>
        </w:rPr>
        <w:t>4</w:t>
      </w:r>
      <w:r w:rsidR="00B3595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4709DA">
        <w:rPr>
          <w:rFonts w:ascii="Times New Roman" w:hAnsi="Times New Roman" w:cs="Times New Roman"/>
          <w:sz w:val="28"/>
          <w:szCs w:val="28"/>
        </w:rPr>
        <w:t>»</w:t>
      </w:r>
    </w:p>
    <w:p w:rsidR="009508BB" w:rsidRPr="004709DA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9508BB" w:rsidRPr="004709DA" w:rsidTr="00626BFD">
        <w:tc>
          <w:tcPr>
            <w:tcW w:w="4219" w:type="dxa"/>
          </w:tcPr>
          <w:p w:rsidR="009508BB" w:rsidRPr="006F2E73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F2E73" w:rsidRPr="006F2E73" w:rsidRDefault="006F2E73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9508BB" w:rsidRPr="006F2E73" w:rsidRDefault="006F2E73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08BB" w:rsidRPr="006F2E7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352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«Противодействие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Новотитаровском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</w:t>
            </w:r>
            <w:r w:rsidR="00A670FF">
              <w:rPr>
                <w:rFonts w:ascii="Times New Roman" w:hAnsi="Times New Roman" w:cs="Times New Roman"/>
                <w:sz w:val="28"/>
                <w:szCs w:val="28"/>
              </w:rPr>
              <w:t xml:space="preserve">2022-2024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A41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» (далее-Программа)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8BB" w:rsidRPr="004709DA" w:rsidTr="00626BFD">
        <w:tc>
          <w:tcPr>
            <w:tcW w:w="4219" w:type="dxa"/>
          </w:tcPr>
          <w:p w:rsidR="009508BB" w:rsidRPr="006F2E73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</w:t>
            </w:r>
          </w:p>
          <w:p w:rsidR="006F2E73" w:rsidRPr="006F2E73" w:rsidRDefault="009508BB" w:rsidP="006F2E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r w:rsidR="006F2E73" w:rsidRPr="006F2E7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9508BB" w:rsidRPr="006F2E73" w:rsidRDefault="009508BB" w:rsidP="003364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E7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352" w:type="dxa"/>
          </w:tcPr>
          <w:p w:rsidR="009508BB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РФ от 25.12.2008г. №273-ФЗ 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</w:t>
            </w:r>
            <w:r w:rsidR="001A413F">
              <w:rPr>
                <w:rFonts w:ascii="Times New Roman" w:hAnsi="Times New Roman" w:cs="Times New Roman"/>
                <w:sz w:val="28"/>
              </w:rPr>
              <w:t xml:space="preserve">Указ Президента Российской Федерации </w:t>
            </w:r>
            <w:r w:rsidR="00DD0DAA" w:rsidRPr="00F61CF7">
              <w:rPr>
                <w:rFonts w:ascii="Times New Roman" w:hAnsi="Times New Roman" w:cs="Times New Roman"/>
                <w:sz w:val="28"/>
              </w:rPr>
              <w:t xml:space="preserve">от 16 августа 2021 г. </w:t>
            </w:r>
            <w:r w:rsidR="00DD0DAA">
              <w:rPr>
                <w:rFonts w:ascii="Times New Roman" w:hAnsi="Times New Roman" w:cs="Times New Roman"/>
                <w:sz w:val="28"/>
              </w:rPr>
              <w:t>№</w:t>
            </w:r>
            <w:r w:rsidR="00DD0DAA" w:rsidRPr="00F61CF7">
              <w:rPr>
                <w:rFonts w:ascii="Times New Roman" w:hAnsi="Times New Roman" w:cs="Times New Roman"/>
                <w:sz w:val="28"/>
              </w:rPr>
              <w:t xml:space="preserve"> 478</w:t>
            </w:r>
            <w:r w:rsidR="00DD0DAA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DD0DAA" w:rsidRPr="00F61CF7">
              <w:rPr>
                <w:rFonts w:ascii="Times New Roman" w:hAnsi="Times New Roman" w:cs="Times New Roman"/>
                <w:sz w:val="28"/>
              </w:rPr>
              <w:t>О Национальном плане противодействия коррупции на 2021 - 2024 годы</w:t>
            </w:r>
            <w:r w:rsidR="00DD0DAA">
              <w:rPr>
                <w:rFonts w:ascii="Times New Roman" w:hAnsi="Times New Roman" w:cs="Times New Roman"/>
                <w:sz w:val="28"/>
              </w:rPr>
              <w:t>»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23.07.2009г. №1798-КЗ «О противодействии коррупции  в Краснодарском крае»</w:t>
            </w:r>
          </w:p>
          <w:p w:rsidR="009508BB" w:rsidRPr="004709DA" w:rsidRDefault="009508BB" w:rsidP="0033640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2125" w:rsidRPr="00B87E1D" w:rsidTr="00626BFD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2E2125" w:rsidRPr="006F2E73" w:rsidRDefault="006F2E73" w:rsidP="006F2E73">
            <w:pPr>
              <w:spacing w:line="240" w:lineRule="auto"/>
              <w:ind w:right="-28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Заказчик муниципальной программы</w:t>
            </w:r>
            <w:r w:rsidRPr="006F2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2E2125" w:rsidRPr="00B87E1D" w:rsidRDefault="006F2E73" w:rsidP="002E2125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="002E2125"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2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Новотитаровского сельского поселения Динского района</w:t>
            </w:r>
          </w:p>
        </w:tc>
      </w:tr>
      <w:tr w:rsidR="002E2125" w:rsidRPr="00B87E1D" w:rsidTr="00626BFD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F2E73" w:rsidRDefault="006F2E73" w:rsidP="006F2E73">
            <w:pPr>
              <w:tabs>
                <w:tab w:val="left" w:pos="354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разработчики и координаторы муниципальной</w:t>
            </w:r>
          </w:p>
          <w:p w:rsidR="002E2125" w:rsidRPr="006F2E73" w:rsidRDefault="006F2E73" w:rsidP="006F2E73">
            <w:pPr>
              <w:spacing w:line="240" w:lineRule="auto"/>
              <w:ind w:right="-2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352" w:type="dxa"/>
          </w:tcPr>
          <w:p w:rsidR="002E2125" w:rsidRPr="00B87E1D" w:rsidRDefault="008C2DD1" w:rsidP="002E2125">
            <w:pPr>
              <w:spacing w:line="240" w:lineRule="auto"/>
              <w:ind w:right="51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8C2DD1" w:rsidRPr="00B87E1D" w:rsidTr="00626BFD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8C2DD1" w:rsidRDefault="008C2DD1" w:rsidP="008C2DD1">
            <w:pPr>
              <w:tabs>
                <w:tab w:val="left" w:pos="354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исполнители муниципальной программы</w:t>
            </w:r>
          </w:p>
        </w:tc>
        <w:tc>
          <w:tcPr>
            <w:tcW w:w="5352" w:type="dxa"/>
          </w:tcPr>
          <w:p w:rsidR="008C2DD1" w:rsidRDefault="008C2DD1" w:rsidP="002E2125">
            <w:pPr>
              <w:spacing w:line="240" w:lineRule="auto"/>
              <w:ind w:right="5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общим и правовым вопросам</w:t>
            </w:r>
            <w:r w:rsidRPr="00B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Новотитаровского сельского поселения Динского района</w:t>
            </w:r>
          </w:p>
        </w:tc>
      </w:tr>
      <w:tr w:rsidR="002E2125" w:rsidRPr="00B87E1D" w:rsidTr="00626BFD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8C2DD1" w:rsidRDefault="008C2DD1" w:rsidP="008C2DD1">
            <w:pPr>
              <w:tabs>
                <w:tab w:val="left" w:pos="354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Основные цели муниципальной</w:t>
            </w:r>
          </w:p>
          <w:p w:rsidR="002E2125" w:rsidRPr="006F2E73" w:rsidRDefault="008C2DD1" w:rsidP="008C2DD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программы</w:t>
            </w:r>
            <w:r w:rsidRPr="006F2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2E2125" w:rsidRPr="00B87E1D" w:rsidRDefault="003F319E" w:rsidP="00280482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C45D7">
              <w:rPr>
                <w:rFonts w:ascii="Times New Roman" w:hAnsi="Times New Roman" w:cs="Times New Roman"/>
                <w:sz w:val="28"/>
                <w:szCs w:val="28"/>
              </w:rPr>
              <w:t>ащита прав и законных интересов граждан, общества и государства от проявлений коррупции</w:t>
            </w:r>
            <w:r w:rsidR="0028048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80482" w:rsidRPr="00280482">
              <w:rPr>
                <w:rFonts w:ascii="Times New Roman" w:hAnsi="Times New Roman" w:cs="Times New Roman"/>
                <w:sz w:val="28"/>
                <w:szCs w:val="28"/>
              </w:rPr>
              <w:t>цели, задачи и целевые показатели</w:t>
            </w:r>
            <w:r w:rsidR="00280482">
              <w:rPr>
                <w:rFonts w:ascii="Times New Roman" w:hAnsi="Times New Roman" w:cs="Times New Roman"/>
                <w:sz w:val="28"/>
                <w:szCs w:val="28"/>
              </w:rPr>
              <w:t xml:space="preserve"> изложены </w:t>
            </w:r>
            <w:proofErr w:type="gramStart"/>
            <w:r w:rsidR="0028048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80482" w:rsidRPr="00280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482">
              <w:rPr>
                <w:rFonts w:ascii="Times New Roman" w:hAnsi="Times New Roman" w:cs="Times New Roman"/>
                <w:sz w:val="28"/>
                <w:szCs w:val="28"/>
              </w:rPr>
              <w:t>Приложении</w:t>
            </w:r>
            <w:proofErr w:type="gramEnd"/>
            <w:r w:rsidR="00280482">
              <w:rPr>
                <w:rFonts w:ascii="Times New Roman" w:hAnsi="Times New Roman" w:cs="Times New Roman"/>
                <w:sz w:val="28"/>
                <w:szCs w:val="28"/>
              </w:rPr>
              <w:t xml:space="preserve"> 1 к Программе)</w:t>
            </w:r>
          </w:p>
        </w:tc>
      </w:tr>
      <w:tr w:rsidR="002E2125" w:rsidRPr="00B87E1D" w:rsidTr="00626BFD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2E2125" w:rsidRPr="003F319E" w:rsidRDefault="002E2125" w:rsidP="002E2125">
            <w:pPr>
              <w:spacing w:line="240" w:lineRule="auto"/>
              <w:ind w:right="-2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муниципальной </w:t>
            </w:r>
          </w:p>
          <w:p w:rsidR="002E2125" w:rsidRPr="003F319E" w:rsidRDefault="002E2125" w:rsidP="002E2125">
            <w:pPr>
              <w:spacing w:line="240" w:lineRule="auto"/>
              <w:ind w:right="-2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19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  <w:p w:rsidR="002E2125" w:rsidRPr="00B87E1D" w:rsidRDefault="002E2125" w:rsidP="002E2125">
            <w:pPr>
              <w:spacing w:line="240" w:lineRule="auto"/>
              <w:ind w:right="-28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921155" w:rsidRPr="00921155" w:rsidRDefault="00921155" w:rsidP="00921155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запретов, ограничений и требований, установленных в целях противодействия коррупции;</w:t>
            </w:r>
          </w:p>
          <w:p w:rsidR="00921155" w:rsidRPr="00921155" w:rsidRDefault="00921155" w:rsidP="00921155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      </w:r>
          </w:p>
          <w:p w:rsidR="00921155" w:rsidRPr="00921155" w:rsidRDefault="00921155" w:rsidP="00921155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      </w:r>
          </w:p>
          <w:p w:rsidR="00921155" w:rsidRPr="00921155" w:rsidRDefault="00921155" w:rsidP="00921155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предусмотренных Федеральным законом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      </w:r>
          </w:p>
          <w:p w:rsidR="00921155" w:rsidRPr="00921155" w:rsidRDefault="00921155" w:rsidP="00921155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      </w:r>
          </w:p>
          <w:p w:rsidR="00921155" w:rsidRPr="00921155" w:rsidRDefault="00921155" w:rsidP="00921155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      </w:r>
          </w:p>
          <w:p w:rsidR="002E2125" w:rsidRPr="00B87E1D" w:rsidRDefault="00921155" w:rsidP="00921155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1155">
              <w:rPr>
                <w:rFonts w:ascii="Times New Roman" w:hAnsi="Times New Roman" w:cs="Times New Roman"/>
                <w:sz w:val="28"/>
                <w:szCs w:val="28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</w:tr>
      <w:tr w:rsidR="00626BFD" w:rsidRPr="00B87E1D" w:rsidTr="00626BFD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26BFD" w:rsidRPr="00626BFD" w:rsidRDefault="00626BFD" w:rsidP="00626BFD">
            <w:pPr>
              <w:spacing w:line="240" w:lineRule="auto"/>
              <w:ind w:right="-2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BF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программы</w:t>
            </w:r>
          </w:p>
        </w:tc>
        <w:tc>
          <w:tcPr>
            <w:tcW w:w="5352" w:type="dxa"/>
          </w:tcPr>
          <w:p w:rsidR="00626BFD" w:rsidRPr="00626BFD" w:rsidRDefault="00626BFD" w:rsidP="00626BFD">
            <w:pPr>
              <w:spacing w:line="240" w:lineRule="auto"/>
              <w:ind w:right="-2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BF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предусмотрены приложением № 2 к программе</w:t>
            </w:r>
          </w:p>
        </w:tc>
      </w:tr>
      <w:tr w:rsidR="00626BFD" w:rsidRPr="00B87E1D" w:rsidTr="00626BFD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26BFD" w:rsidRDefault="00626BFD" w:rsidP="00626BFD">
            <w:pPr>
              <w:tabs>
                <w:tab w:val="left" w:pos="354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реализации </w:t>
            </w:r>
          </w:p>
          <w:p w:rsidR="00626BFD" w:rsidRPr="00B87E1D" w:rsidRDefault="00626BFD" w:rsidP="00626BFD">
            <w:pPr>
              <w:spacing w:line="240" w:lineRule="auto"/>
              <w:ind w:right="-28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626BFD" w:rsidRDefault="00626BFD" w:rsidP="00626BFD">
            <w:pPr>
              <w:tabs>
                <w:tab w:val="center" w:pos="301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A670FF">
              <w:rPr>
                <w:rFonts w:ascii="Times New Roman" w:hAnsi="Times New Roman" w:cs="Times New Roman"/>
                <w:sz w:val="28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 xml:space="preserve"> – 202</w:t>
            </w:r>
            <w:r w:rsidR="00A670FF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годы</w:t>
            </w:r>
          </w:p>
          <w:p w:rsidR="00626BFD" w:rsidRPr="00B87E1D" w:rsidRDefault="00626BFD" w:rsidP="00626BF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6BFD" w:rsidRPr="00B87E1D" w:rsidTr="00626BFD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26BFD" w:rsidRPr="00B87E1D" w:rsidRDefault="00626BFD" w:rsidP="00626BFD">
            <w:pPr>
              <w:spacing w:line="240" w:lineRule="auto"/>
              <w:ind w:right="-284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и источники финансирования муниципальной программы</w:t>
            </w:r>
            <w:r w:rsidRPr="00B87E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626BFD" w:rsidRDefault="00626BFD" w:rsidP="00626BF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общий объем финансирования программы</w:t>
            </w:r>
          </w:p>
          <w:p w:rsidR="00626BFD" w:rsidRDefault="00626BFD" w:rsidP="00626BF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из средств бюджета поселения </w:t>
            </w:r>
            <w:r>
              <w:rPr>
                <w:rFonts w:ascii="Times New Roman" w:hAnsi="Times New Roman" w:cs="Times New Roman"/>
                <w:sz w:val="28"/>
              </w:rPr>
              <w:t>составляет – 9 000 рублей, в том числе:</w:t>
            </w:r>
          </w:p>
          <w:p w:rsidR="00626BFD" w:rsidRDefault="00626BFD" w:rsidP="00626BFD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626BFD" w:rsidRDefault="00626BFD" w:rsidP="00626BFD">
            <w:pPr>
              <w:tabs>
                <w:tab w:val="center" w:pos="30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9956EB">
              <w:rPr>
                <w:rFonts w:ascii="Times New Roman" w:hAnsi="Times New Roman" w:cs="Times New Roman"/>
                <w:sz w:val="28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 xml:space="preserve"> год – 3 000 рублей</w:t>
            </w:r>
          </w:p>
          <w:p w:rsidR="00626BFD" w:rsidRDefault="00626BFD" w:rsidP="00626BFD">
            <w:pPr>
              <w:tabs>
                <w:tab w:val="center" w:pos="30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9956E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 – 3 000 рублей</w:t>
            </w:r>
          </w:p>
          <w:p w:rsidR="00626BFD" w:rsidRDefault="00626BFD" w:rsidP="00626BFD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9956E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 – 3 000 рублей</w:t>
            </w:r>
          </w:p>
          <w:p w:rsidR="00626BFD" w:rsidRPr="00B87E1D" w:rsidRDefault="00626BFD" w:rsidP="00626BFD">
            <w:pPr>
              <w:spacing w:line="240" w:lineRule="auto"/>
              <w:ind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626BFD" w:rsidRPr="00B87E1D" w:rsidTr="00626BFD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26BFD" w:rsidRDefault="00626BFD" w:rsidP="00626BFD">
            <w:pPr>
              <w:tabs>
                <w:tab w:val="left" w:pos="3544"/>
              </w:tabs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352" w:type="dxa"/>
          </w:tcPr>
          <w:p w:rsidR="00626BFD" w:rsidRPr="008A7623" w:rsidRDefault="00626BFD" w:rsidP="00626BFD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hi-IN" w:bidi="hi-IN"/>
              </w:rPr>
              <w:t>снижение уровня коррупции в деятельности муниципальных органов, в повседневной жизни граждан</w:t>
            </w:r>
          </w:p>
        </w:tc>
      </w:tr>
      <w:tr w:rsidR="00626BFD" w:rsidRPr="00B87E1D" w:rsidTr="00626BFD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26BFD" w:rsidRPr="000D7DC9" w:rsidRDefault="00626BFD" w:rsidP="00626BFD">
            <w:pPr>
              <w:spacing w:line="240" w:lineRule="auto"/>
              <w:ind w:right="-2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C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</w:t>
            </w:r>
          </w:p>
          <w:p w:rsidR="00626BFD" w:rsidRPr="000D7DC9" w:rsidRDefault="00626BFD" w:rsidP="00626BFD">
            <w:pPr>
              <w:spacing w:line="240" w:lineRule="auto"/>
              <w:ind w:right="-2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C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52" w:type="dxa"/>
          </w:tcPr>
          <w:p w:rsidR="00626BFD" w:rsidRPr="000D7DC9" w:rsidRDefault="00626BFD" w:rsidP="00626BFD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0D7DC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Новотитаровского</w:t>
            </w:r>
            <w:r w:rsidRPr="000D7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Динского района, Совет </w:t>
            </w:r>
            <w:r w:rsidRPr="000D7DC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Новотитаровского</w:t>
            </w:r>
            <w:r w:rsidRPr="000D7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:rsidR="009508BB" w:rsidRDefault="009508BB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013736" w:rsidRPr="004709DA" w:rsidRDefault="00013736" w:rsidP="009508BB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её решения программными методами</w:t>
      </w:r>
    </w:p>
    <w:p w:rsidR="009508BB" w:rsidRPr="005D67A8" w:rsidRDefault="009508BB" w:rsidP="002A5A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08BB" w:rsidRPr="005D67A8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 xml:space="preserve"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</w:t>
      </w:r>
      <w:r w:rsidR="009956EB" w:rsidRPr="00F61CF7">
        <w:rPr>
          <w:rFonts w:ascii="Times New Roman" w:hAnsi="Times New Roman" w:cs="Times New Roman"/>
          <w:sz w:val="28"/>
        </w:rPr>
        <w:t xml:space="preserve">от 16 августа 2021 г. </w:t>
      </w:r>
      <w:r w:rsidR="009956EB">
        <w:rPr>
          <w:rFonts w:ascii="Times New Roman" w:hAnsi="Times New Roman" w:cs="Times New Roman"/>
          <w:sz w:val="28"/>
        </w:rPr>
        <w:t>№</w:t>
      </w:r>
      <w:r w:rsidR="009956EB" w:rsidRPr="00F61CF7">
        <w:rPr>
          <w:rFonts w:ascii="Times New Roman" w:hAnsi="Times New Roman" w:cs="Times New Roman"/>
          <w:sz w:val="28"/>
        </w:rPr>
        <w:t xml:space="preserve"> 478</w:t>
      </w:r>
      <w:r w:rsidR="009956EB">
        <w:rPr>
          <w:rFonts w:ascii="Times New Roman" w:hAnsi="Times New Roman" w:cs="Times New Roman"/>
          <w:sz w:val="28"/>
        </w:rPr>
        <w:t xml:space="preserve"> «</w:t>
      </w:r>
      <w:r w:rsidR="009956EB" w:rsidRPr="00F61CF7">
        <w:rPr>
          <w:rFonts w:ascii="Times New Roman" w:hAnsi="Times New Roman" w:cs="Times New Roman"/>
          <w:sz w:val="28"/>
        </w:rPr>
        <w:t>О Национальном плане противодействия коррупции на 2021 - 2024 годы</w:t>
      </w:r>
      <w:r w:rsidR="009956EB">
        <w:rPr>
          <w:rFonts w:ascii="Times New Roman" w:hAnsi="Times New Roman" w:cs="Times New Roman"/>
          <w:sz w:val="28"/>
        </w:rPr>
        <w:t>»</w:t>
      </w:r>
      <w:r w:rsidRPr="005D67A8">
        <w:rPr>
          <w:rFonts w:ascii="Times New Roman" w:hAnsi="Times New Roman" w:cs="Times New Roman"/>
          <w:sz w:val="28"/>
          <w:szCs w:val="28"/>
        </w:rPr>
        <w:t>, а также в законодательстве Российской Федерации, регулирующем вопросы государственной и муниципальной службы.</w:t>
      </w:r>
    </w:p>
    <w:p w:rsidR="002A5A65" w:rsidRPr="002A5A65" w:rsidRDefault="009508BB" w:rsidP="002A5A65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5D67A8">
        <w:rPr>
          <w:rFonts w:ascii="Times New Roman" w:hAnsi="Times New Roman" w:cs="Times New Roman"/>
          <w:sz w:val="28"/>
          <w:szCs w:val="28"/>
        </w:rPr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</w:t>
      </w:r>
      <w:r w:rsidR="002A5A65">
        <w:rPr>
          <w:rFonts w:ascii="Times New Roman" w:hAnsi="Times New Roman" w:cs="Times New Roman"/>
          <w:sz w:val="28"/>
          <w:szCs w:val="28"/>
        </w:rPr>
        <w:t xml:space="preserve"> м</w:t>
      </w:r>
      <w:r w:rsidR="002A5A65" w:rsidRPr="002A5A65">
        <w:rPr>
          <w:rFonts w:ascii="Times New Roman" w:hAnsi="Times New Roman" w:cs="Times New Roman"/>
          <w:sz w:val="28"/>
          <w:szCs w:val="28"/>
        </w:rPr>
        <w:t>ероприятия, направлены</w:t>
      </w:r>
      <w:r w:rsidR="00E00AAA">
        <w:rPr>
          <w:rFonts w:ascii="Times New Roman" w:hAnsi="Times New Roman" w:cs="Times New Roman"/>
          <w:sz w:val="28"/>
          <w:szCs w:val="28"/>
        </w:rPr>
        <w:t>е</w:t>
      </w:r>
      <w:r w:rsidR="002A5A65" w:rsidRPr="002A5A65">
        <w:rPr>
          <w:rFonts w:ascii="Times New Roman" w:hAnsi="Times New Roman" w:cs="Times New Roman"/>
          <w:sz w:val="28"/>
          <w:szCs w:val="28"/>
        </w:rPr>
        <w:t xml:space="preserve"> на решение следующих основных задач:</w:t>
      </w:r>
    </w:p>
    <w:p w:rsidR="002A5A65" w:rsidRPr="002A5A65" w:rsidRDefault="002A5A65" w:rsidP="002A5A65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2A5A65" w:rsidRPr="002A5A65" w:rsidRDefault="002A5A65" w:rsidP="002A5A65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2A5A65" w:rsidRPr="002A5A65" w:rsidRDefault="002A5A65" w:rsidP="002A5A65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2A5A65" w:rsidRPr="002A5A65" w:rsidRDefault="002A5A65" w:rsidP="002A5A65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совершенствование предусмотренных Федеральным законом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2A5A65" w:rsidRPr="002A5A65" w:rsidRDefault="002A5A65" w:rsidP="002A5A65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2A5A65" w:rsidRPr="002A5A65" w:rsidRDefault="002A5A65" w:rsidP="002A5A65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9508BB" w:rsidRPr="005D67A8" w:rsidRDefault="002A5A65" w:rsidP="002A5A65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2A5A65">
        <w:rPr>
          <w:rFonts w:ascii="Times New Roman" w:hAnsi="Times New Roman" w:cs="Times New Roman"/>
          <w:sz w:val="28"/>
          <w:szCs w:val="28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AAA" w:rsidRDefault="00E00AAA" w:rsidP="009508B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8BB" w:rsidRPr="009B3FAC" w:rsidRDefault="009508BB" w:rsidP="009508B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2. Организация управления Программой</w:t>
      </w:r>
    </w:p>
    <w:p w:rsidR="009508BB" w:rsidRPr="009B3FAC" w:rsidRDefault="009508BB" w:rsidP="009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FAC">
        <w:rPr>
          <w:rFonts w:ascii="Times New Roman" w:hAnsi="Times New Roman" w:cs="Times New Roman"/>
          <w:b/>
          <w:sz w:val="28"/>
          <w:szCs w:val="28"/>
        </w:rPr>
        <w:t>и контроль ее исполнения</w:t>
      </w:r>
    </w:p>
    <w:p w:rsidR="009508BB" w:rsidRPr="009F0A00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Общий контроль за исполнением Программы осуществляется главой </w:t>
      </w:r>
      <w:r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9F0A00">
        <w:rPr>
          <w:rFonts w:ascii="Times New Roman" w:hAnsi="Times New Roman" w:cs="Times New Roman"/>
          <w:sz w:val="28"/>
          <w:szCs w:val="28"/>
        </w:rPr>
        <w:t xml:space="preserve"> района.  В ходе исполнения Программы ежегодно уточняются механизм её реализации и состав исполнителей.</w:t>
      </w:r>
    </w:p>
    <w:p w:rsidR="009508BB" w:rsidRDefault="009508BB" w:rsidP="009508BB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9508BB" w:rsidRPr="00B354F5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354F5">
        <w:rPr>
          <w:rFonts w:ascii="Times New Roman" w:hAnsi="Times New Roman" w:cs="Times New Roman"/>
          <w:b/>
          <w:sz w:val="28"/>
          <w:szCs w:val="28"/>
        </w:rPr>
        <w:t>3. Правовое обоснование Программы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25 декабря 2008 года N 273-ФЗ "О противодействии коррупции";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Краснодарского края от 23 июля 2009 года № 1798-КЗ «О противодействии коррупции в Краснодарском крае»;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Федеральный закон от 02 марта 2007 года N 25-ФЗ "</w:t>
      </w:r>
      <w:proofErr w:type="gramStart"/>
      <w:r w:rsidRPr="009F0A00">
        <w:rPr>
          <w:rFonts w:ascii="Times New Roman" w:hAnsi="Times New Roman" w:cs="Times New Roman"/>
          <w:sz w:val="28"/>
          <w:szCs w:val="28"/>
        </w:rPr>
        <w:t>О  муниципальной</w:t>
      </w:r>
      <w:proofErr w:type="gramEnd"/>
      <w:r w:rsidRPr="009F0A00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Федерации";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 Федеральный закон от 17.07.2009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F0A00">
        <w:rPr>
          <w:rFonts w:ascii="Times New Roman" w:hAnsi="Times New Roman" w:cs="Times New Roman"/>
          <w:sz w:val="28"/>
          <w:szCs w:val="28"/>
        </w:rPr>
        <w:t xml:space="preserve"> N</w:t>
      </w:r>
      <w:proofErr w:type="gramEnd"/>
      <w:r w:rsidRPr="009F0A00">
        <w:rPr>
          <w:rFonts w:ascii="Times New Roman" w:hAnsi="Times New Roman" w:cs="Times New Roman"/>
          <w:sz w:val="28"/>
          <w:szCs w:val="28"/>
        </w:rPr>
        <w:t xml:space="preserve"> 172-ФЗ  "Об антикоррупционной экспертизе нормативных правовых актов и проектов нормативных правовых актов";</w:t>
      </w:r>
    </w:p>
    <w:p w:rsidR="009508BB" w:rsidRDefault="003D17ED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106BAD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</w:t>
      </w:r>
      <w:r w:rsidR="009956EB" w:rsidRPr="00F61CF7">
        <w:rPr>
          <w:rFonts w:ascii="Times New Roman" w:hAnsi="Times New Roman" w:cs="Times New Roman"/>
          <w:sz w:val="28"/>
        </w:rPr>
        <w:t xml:space="preserve">от 16 августа 2021 г. </w:t>
      </w:r>
      <w:r w:rsidR="009956EB">
        <w:rPr>
          <w:rFonts w:ascii="Times New Roman" w:hAnsi="Times New Roman" w:cs="Times New Roman"/>
          <w:sz w:val="28"/>
        </w:rPr>
        <w:t>№</w:t>
      </w:r>
      <w:r w:rsidR="009956EB" w:rsidRPr="00F61CF7">
        <w:rPr>
          <w:rFonts w:ascii="Times New Roman" w:hAnsi="Times New Roman" w:cs="Times New Roman"/>
          <w:sz w:val="28"/>
        </w:rPr>
        <w:t xml:space="preserve"> 478</w:t>
      </w:r>
      <w:r w:rsidR="009956EB">
        <w:rPr>
          <w:rFonts w:ascii="Times New Roman" w:hAnsi="Times New Roman" w:cs="Times New Roman"/>
          <w:sz w:val="28"/>
        </w:rPr>
        <w:t xml:space="preserve"> «</w:t>
      </w:r>
      <w:r w:rsidR="009956EB" w:rsidRPr="00F61CF7">
        <w:rPr>
          <w:rFonts w:ascii="Times New Roman" w:hAnsi="Times New Roman" w:cs="Times New Roman"/>
          <w:sz w:val="28"/>
        </w:rPr>
        <w:t>О Национальном плане противодействия коррупции на 2021 - 2024 годы</w:t>
      </w:r>
      <w:r w:rsidR="009956E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8BB" w:rsidRPr="009F0A00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9508BB" w:rsidRDefault="009508BB" w:rsidP="009508BB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>Постановление Правительства РФ от</w:t>
      </w:r>
      <w:r>
        <w:rPr>
          <w:rFonts w:ascii="Times New Roman" w:hAnsi="Times New Roman" w:cs="Times New Roman"/>
          <w:sz w:val="28"/>
          <w:szCs w:val="28"/>
        </w:rPr>
        <w:t xml:space="preserve"> 26 февраля </w:t>
      </w:r>
      <w:r w:rsidRPr="009F0A00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0A00">
        <w:rPr>
          <w:rFonts w:ascii="Times New Roman" w:hAnsi="Times New Roman" w:cs="Times New Roman"/>
          <w:sz w:val="28"/>
          <w:szCs w:val="28"/>
        </w:rPr>
        <w:t xml:space="preserve"> N 96 "Об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00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8BB" w:rsidRDefault="009508BB" w:rsidP="009508BB">
      <w:pPr>
        <w:tabs>
          <w:tab w:val="left" w:pos="567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Разработка и внедрение правовых, организационных и иных механизмов противодействия коррупции в </w:t>
      </w:r>
      <w:proofErr w:type="gramStart"/>
      <w:r w:rsidRPr="009F0A00">
        <w:rPr>
          <w:rFonts w:ascii="Times New Roman" w:hAnsi="Times New Roman" w:cs="Times New Roman"/>
          <w:sz w:val="28"/>
          <w:szCs w:val="28"/>
        </w:rPr>
        <w:t>органах  местного</w:t>
      </w:r>
      <w:proofErr w:type="gramEnd"/>
      <w:r w:rsidRPr="009F0A00">
        <w:rPr>
          <w:rFonts w:ascii="Times New Roman" w:hAnsi="Times New Roman" w:cs="Times New Roman"/>
          <w:sz w:val="28"/>
          <w:szCs w:val="28"/>
        </w:rPr>
        <w:t xml:space="preserve"> самоуправления являются необходимыми элементами реализации административной реформы.</w:t>
      </w:r>
    </w:p>
    <w:p w:rsidR="009508BB" w:rsidRDefault="009508BB" w:rsidP="009508BB">
      <w:pPr>
        <w:autoSpaceDE w:val="0"/>
        <w:autoSpaceDN w:val="0"/>
        <w:adjustRightInd w:val="0"/>
        <w:ind w:firstLine="540"/>
      </w:pPr>
      <w:r w:rsidRPr="00081061">
        <w:t xml:space="preserve">                   </w:t>
      </w:r>
    </w:p>
    <w:p w:rsidR="009508BB" w:rsidRDefault="009508BB" w:rsidP="009508BB">
      <w:pPr>
        <w:autoSpaceDE w:val="0"/>
        <w:autoSpaceDN w:val="0"/>
        <w:adjustRightInd w:val="0"/>
        <w:ind w:firstLine="540"/>
      </w:pPr>
    </w:p>
    <w:p w:rsidR="009508BB" w:rsidRPr="006D0191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81061">
        <w:rPr>
          <w:rFonts w:ascii="Times New Roman" w:hAnsi="Times New Roman" w:cs="Times New Roman"/>
          <w:sz w:val="28"/>
          <w:szCs w:val="28"/>
        </w:rPr>
        <w:t xml:space="preserve">   </w:t>
      </w:r>
      <w:r w:rsidRPr="006D0191">
        <w:rPr>
          <w:rFonts w:ascii="Times New Roman" w:hAnsi="Times New Roman" w:cs="Times New Roman"/>
          <w:b/>
          <w:sz w:val="28"/>
          <w:szCs w:val="28"/>
        </w:rPr>
        <w:t>4. Оценка социально-экономической эффективности</w:t>
      </w:r>
    </w:p>
    <w:p w:rsidR="009508BB" w:rsidRPr="006D0191" w:rsidRDefault="009508BB" w:rsidP="009508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91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 xml:space="preserve">повысить качество нормативных правовых </w:t>
      </w:r>
      <w:proofErr w:type="gramStart"/>
      <w:r w:rsidRPr="002D0A29">
        <w:rPr>
          <w:rFonts w:ascii="Times New Roman" w:hAnsi="Times New Roman" w:cs="Times New Roman"/>
          <w:sz w:val="28"/>
          <w:szCs w:val="28"/>
        </w:rPr>
        <w:t>актов  поселения</w:t>
      </w:r>
      <w:proofErr w:type="gramEnd"/>
      <w:r w:rsidRPr="002D0A29">
        <w:rPr>
          <w:rFonts w:ascii="Times New Roman" w:hAnsi="Times New Roman" w:cs="Times New Roman"/>
          <w:sz w:val="28"/>
          <w:szCs w:val="28"/>
        </w:rPr>
        <w:t xml:space="preserve"> за счет проведения антикоррупционной экспертизы, усовершенствовать нормативную правовую базу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привлечь представителей общественности к осуществлению антикоррупционного контроля за деятельностью органов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 xml:space="preserve">поднять профессиональный </w:t>
      </w:r>
      <w:proofErr w:type="gramStart"/>
      <w:r w:rsidRPr="002D0A29">
        <w:rPr>
          <w:rFonts w:ascii="Times New Roman" w:hAnsi="Times New Roman" w:cs="Times New Roman"/>
          <w:sz w:val="28"/>
          <w:szCs w:val="28"/>
        </w:rPr>
        <w:t>уровень  муниципальных</w:t>
      </w:r>
      <w:proofErr w:type="gramEnd"/>
      <w:r w:rsidRPr="002D0A29">
        <w:rPr>
          <w:rFonts w:ascii="Times New Roman" w:hAnsi="Times New Roman" w:cs="Times New Roman"/>
          <w:sz w:val="28"/>
          <w:szCs w:val="28"/>
        </w:rPr>
        <w:t xml:space="preserve"> служащих  поселения в вопросах противодействия коррупции в целях создания стойкого антикоррупционного поведения;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 xml:space="preserve">создать условия для обеспечения открытости, здоровой конкуренции и объективности при размещении заказов на поставки товаров, выполнение работ, оказание услуг </w:t>
      </w:r>
      <w:proofErr w:type="gramStart"/>
      <w:r w:rsidRPr="002D0A29">
        <w:rPr>
          <w:rFonts w:ascii="Times New Roman" w:hAnsi="Times New Roman" w:cs="Times New Roman"/>
          <w:sz w:val="28"/>
          <w:szCs w:val="28"/>
        </w:rPr>
        <w:t>для  муниципальных</w:t>
      </w:r>
      <w:proofErr w:type="gramEnd"/>
      <w:r w:rsidRPr="002D0A29">
        <w:rPr>
          <w:rFonts w:ascii="Times New Roman" w:hAnsi="Times New Roman" w:cs="Times New Roman"/>
          <w:sz w:val="28"/>
          <w:szCs w:val="28"/>
        </w:rPr>
        <w:t xml:space="preserve"> нужд;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 xml:space="preserve">снизить уровень коррупции при </w:t>
      </w:r>
      <w:proofErr w:type="gramStart"/>
      <w:r w:rsidRPr="002D0A29">
        <w:rPr>
          <w:rFonts w:ascii="Times New Roman" w:hAnsi="Times New Roman" w:cs="Times New Roman"/>
          <w:sz w:val="28"/>
          <w:szCs w:val="28"/>
        </w:rPr>
        <w:t>исполнении  муниципальных</w:t>
      </w:r>
      <w:proofErr w:type="gramEnd"/>
      <w:r w:rsidRPr="002D0A29">
        <w:rPr>
          <w:rFonts w:ascii="Times New Roman" w:hAnsi="Times New Roman" w:cs="Times New Roman"/>
          <w:sz w:val="28"/>
          <w:szCs w:val="28"/>
        </w:rPr>
        <w:t xml:space="preserve"> функций и предоставлении  муниципальных услуг органами местного самоуправления поселения;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снизить долю граждан, столкнувшихся с проявлениями коррупции;</w:t>
      </w:r>
    </w:p>
    <w:p w:rsidR="009508BB" w:rsidRPr="002D0A29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D0A29">
        <w:rPr>
          <w:rFonts w:ascii="Times New Roman" w:hAnsi="Times New Roman" w:cs="Times New Roman"/>
          <w:sz w:val="28"/>
          <w:szCs w:val="28"/>
        </w:rPr>
        <w:t>укрепить уровень доверия граждан к деятельности органов местного самоуправления поселения.</w:t>
      </w:r>
    </w:p>
    <w:p w:rsidR="009508BB" w:rsidRPr="00E1627B" w:rsidRDefault="009508BB" w:rsidP="009508B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1627B">
        <w:rPr>
          <w:rFonts w:ascii="Times New Roman" w:hAnsi="Times New Roman" w:cs="Times New Roman"/>
          <w:b/>
          <w:sz w:val="28"/>
          <w:szCs w:val="28"/>
        </w:rPr>
        <w:t>5. Финансово-экономическое обоснование Программы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повлечет осуществление финансирования </w:t>
      </w:r>
      <w:proofErr w:type="gramStart"/>
      <w:r w:rsidRPr="00F5688A">
        <w:rPr>
          <w:rFonts w:ascii="Times New Roman" w:hAnsi="Times New Roman" w:cs="Times New Roman"/>
          <w:sz w:val="28"/>
          <w:szCs w:val="28"/>
        </w:rPr>
        <w:t>Программы  за</w:t>
      </w:r>
      <w:proofErr w:type="gramEnd"/>
      <w:r w:rsidRPr="00F5688A">
        <w:rPr>
          <w:rFonts w:ascii="Times New Roman" w:hAnsi="Times New Roman" w:cs="Times New Roman"/>
          <w:sz w:val="28"/>
          <w:szCs w:val="28"/>
        </w:rPr>
        <w:t xml:space="preserve">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9508BB" w:rsidRPr="00F5688A" w:rsidRDefault="009508BB" w:rsidP="009508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Кроме того, необходимо развивать деятельность по следующим направлениям предупреждения коррупции: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внедрение антикоррупционного мониторинга и антикоррупционных механизмов в рамках кадровой политики;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>антикоррупционное 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88A">
        <w:rPr>
          <w:rFonts w:ascii="Times New Roman" w:hAnsi="Times New Roman" w:cs="Times New Roman"/>
          <w:sz w:val="28"/>
          <w:szCs w:val="28"/>
        </w:rPr>
        <w:t xml:space="preserve">оптимизация системы закупок </w:t>
      </w:r>
      <w:proofErr w:type="gramStart"/>
      <w:r w:rsidRPr="00F5688A">
        <w:rPr>
          <w:rFonts w:ascii="Times New Roman" w:hAnsi="Times New Roman" w:cs="Times New Roman"/>
          <w:sz w:val="28"/>
          <w:szCs w:val="28"/>
        </w:rPr>
        <w:t>для  муниципальных</w:t>
      </w:r>
      <w:proofErr w:type="gramEnd"/>
      <w:r w:rsidRPr="00F5688A">
        <w:rPr>
          <w:rFonts w:ascii="Times New Roman" w:hAnsi="Times New Roman" w:cs="Times New Roman"/>
          <w:sz w:val="28"/>
          <w:szCs w:val="28"/>
        </w:rPr>
        <w:t xml:space="preserve"> нужд.</w:t>
      </w:r>
    </w:p>
    <w:p w:rsidR="009508BB" w:rsidRDefault="009508BB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F5688A">
        <w:rPr>
          <w:rFonts w:ascii="Times New Roman" w:hAnsi="Times New Roman" w:cs="Times New Roman"/>
          <w:sz w:val="28"/>
          <w:szCs w:val="28"/>
        </w:rPr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:rsidR="00F9336D" w:rsidRPr="00C853B3" w:rsidRDefault="00F9336D" w:rsidP="00F9336D">
      <w:pPr>
        <w:pStyle w:val="a9"/>
        <w:spacing w:after="0" w:line="240" w:lineRule="auto"/>
        <w:ind w:left="0" w:firstLine="113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Обоснование ресурсного обеспечения программы</w:t>
      </w:r>
    </w:p>
    <w:p w:rsidR="00F9336D" w:rsidRDefault="00F9336D" w:rsidP="00F9336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3B3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853B3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осуществляется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бюджета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9336D" w:rsidRDefault="00F9336D" w:rsidP="00F9336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</w:t>
      </w:r>
      <w:r w:rsidRPr="00E043AC">
        <w:rPr>
          <w:rFonts w:ascii="Times New Roman" w:hAnsi="Times New Roman" w:cs="Times New Roman"/>
          <w:color w:val="000000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программы составляет </w:t>
      </w:r>
      <w:r w:rsidR="00D95A1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2E5DD9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</w:p>
    <w:p w:rsidR="00F9336D" w:rsidRDefault="00F9336D" w:rsidP="00F9336D">
      <w:pPr>
        <w:spacing w:line="240" w:lineRule="auto"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p w:rsidR="00D95A1C" w:rsidRDefault="00D95A1C" w:rsidP="00F9336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4151"/>
        <w:gridCol w:w="1644"/>
        <w:gridCol w:w="1777"/>
        <w:gridCol w:w="1505"/>
      </w:tblGrid>
      <w:tr w:rsidR="00D95A1C" w:rsidTr="00D95A1C">
        <w:trPr>
          <w:trHeight w:val="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  <w:p w:rsidR="00D95A1C" w:rsidRDefault="00D95A1C" w:rsidP="000F6E9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п/п</w:t>
            </w:r>
          </w:p>
        </w:tc>
        <w:tc>
          <w:tcPr>
            <w:tcW w:w="4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Наименование направлений программы</w:t>
            </w:r>
          </w:p>
        </w:tc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Объем финансирования из бюджета поселения (тыс. руб.):</w:t>
            </w:r>
          </w:p>
        </w:tc>
      </w:tr>
      <w:tr w:rsidR="00D95A1C" w:rsidTr="00D95A1C">
        <w:trPr>
          <w:trHeight w:val="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9956EB">
            <w:pPr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9956EB">
              <w:rPr>
                <w:rFonts w:ascii="Times New Roman" w:hAnsi="Times New Roman" w:cs="Times New Roman"/>
                <w:sz w:val="28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9956EB">
            <w:pPr>
              <w:spacing w:line="240" w:lineRule="auto"/>
              <w:ind w:hanging="4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9956EB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9956EB">
            <w:pPr>
              <w:spacing w:line="240" w:lineRule="auto"/>
              <w:ind w:firstLine="18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9956EB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  <w:tr w:rsidR="00D95A1C" w:rsidTr="00D95A1C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D95A1C">
            <w:pPr>
              <w:spacing w:line="240" w:lineRule="auto"/>
              <w:ind w:firstLine="0"/>
              <w:jc w:val="left"/>
            </w:pPr>
            <w:r w:rsidRPr="00D95A1C">
              <w:rPr>
                <w:rFonts w:ascii="Times New Roman" w:hAnsi="Times New Roman" w:cs="Times New Roman"/>
                <w:sz w:val="28"/>
              </w:rPr>
              <w:t>Изготовление агитационных материалов антикоррупционного информирования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</w:tr>
      <w:tr w:rsidR="00D95A1C" w:rsidTr="00D95A1C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line="240" w:lineRule="auto"/>
            </w:pPr>
            <w:r>
              <w:rPr>
                <w:rFonts w:ascii="Times New Roman" w:hAnsi="Times New Roman" w:cs="Times New Roman"/>
                <w:spacing w:val="-6"/>
                <w:sz w:val="28"/>
              </w:rPr>
              <w:t>Всего по программе: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A1C" w:rsidRDefault="00D95A1C" w:rsidP="000F6E9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</w:tr>
    </w:tbl>
    <w:p w:rsidR="00D95A1C" w:rsidRDefault="00D95A1C" w:rsidP="00F9336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0062" w:rsidRDefault="00EB4221" w:rsidP="00F9336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0062">
        <w:rPr>
          <w:rFonts w:ascii="Times New Roman" w:hAnsi="Times New Roman" w:cs="Times New Roman"/>
          <w:sz w:val="28"/>
          <w:szCs w:val="28"/>
        </w:rPr>
        <w:t xml:space="preserve">Расчет объема финансирования проведен </w:t>
      </w:r>
      <w:r w:rsidR="00EF0062" w:rsidRPr="00EF0062">
        <w:rPr>
          <w:rFonts w:ascii="Times New Roman" w:hAnsi="Times New Roman" w:cs="Times New Roman"/>
          <w:sz w:val="28"/>
          <w:szCs w:val="28"/>
        </w:rPr>
        <w:t xml:space="preserve">методом сопоставимых рыночных цен </w:t>
      </w:r>
      <w:r w:rsidRPr="00EF0062">
        <w:rPr>
          <w:rFonts w:ascii="Times New Roman" w:hAnsi="Times New Roman" w:cs="Times New Roman"/>
          <w:sz w:val="28"/>
          <w:szCs w:val="28"/>
        </w:rPr>
        <w:t>в соответствии</w:t>
      </w:r>
      <w:r w:rsidR="00EF0062" w:rsidRPr="00EF0062">
        <w:rPr>
          <w:rFonts w:ascii="Times New Roman" w:hAnsi="Times New Roman" w:cs="Times New Roman"/>
          <w:sz w:val="28"/>
          <w:szCs w:val="28"/>
        </w:rPr>
        <w:t xml:space="preserve"> разделом III </w:t>
      </w:r>
      <w:r w:rsidRPr="00EF0062">
        <w:rPr>
          <w:rFonts w:ascii="Times New Roman" w:hAnsi="Times New Roman" w:cs="Times New Roman"/>
          <w:sz w:val="28"/>
          <w:szCs w:val="28"/>
        </w:rPr>
        <w:t xml:space="preserve">«Методических рекомендаций по применению методов определения начальной (максимальной) цены контракта, цены контракта заключаемого с единственным поставщиком (подрядчиком, исполнителем)», утвержденными приказом Минэкономразвития РФ от  02.10.2013г. № 567.  </w:t>
      </w:r>
    </w:p>
    <w:p w:rsidR="006E1764" w:rsidRDefault="00EB4221" w:rsidP="00F9336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0062">
        <w:rPr>
          <w:rFonts w:ascii="Times New Roman" w:hAnsi="Times New Roman" w:cs="Times New Roman"/>
          <w:sz w:val="28"/>
          <w:szCs w:val="28"/>
        </w:rPr>
        <w:t>В данном расчете применяется метод сопоставимых рыночных цен</w:t>
      </w:r>
      <w:r w:rsidR="00EF0062" w:rsidRPr="00EF0062">
        <w:rPr>
          <w:rFonts w:ascii="Times New Roman" w:hAnsi="Times New Roman" w:cs="Times New Roman"/>
          <w:sz w:val="28"/>
          <w:szCs w:val="28"/>
        </w:rPr>
        <w:t xml:space="preserve">, </w:t>
      </w:r>
      <w:r w:rsidRPr="00EF0062">
        <w:rPr>
          <w:rFonts w:ascii="Times New Roman" w:hAnsi="Times New Roman" w:cs="Times New Roman"/>
          <w:sz w:val="28"/>
          <w:szCs w:val="28"/>
        </w:rPr>
        <w:t>исходя из анализа контрактов</w:t>
      </w:r>
      <w:r w:rsidR="00EF0062" w:rsidRPr="00EF0062">
        <w:rPr>
          <w:rFonts w:ascii="Times New Roman" w:hAnsi="Times New Roman" w:cs="Times New Roman"/>
          <w:sz w:val="28"/>
          <w:szCs w:val="28"/>
        </w:rPr>
        <w:t>, с учетом цены договоров прошлых периодов.</w:t>
      </w:r>
    </w:p>
    <w:p w:rsidR="00F9336D" w:rsidRDefault="00F9336D" w:rsidP="00F9336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8E9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38E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938E9">
        <w:rPr>
          <w:rFonts w:ascii="Times New Roman" w:hAnsi="Times New Roman" w:cs="Times New Roman"/>
          <w:sz w:val="28"/>
          <w:szCs w:val="28"/>
        </w:rPr>
        <w:t>уточнят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38E9">
        <w:rPr>
          <w:rFonts w:ascii="Times New Roman" w:hAnsi="Times New Roman" w:cs="Times New Roman"/>
          <w:sz w:val="28"/>
          <w:szCs w:val="28"/>
        </w:rPr>
        <w:t>ся в соответствии с решени</w:t>
      </w:r>
      <w:r>
        <w:rPr>
          <w:rFonts w:ascii="Times New Roman" w:hAnsi="Times New Roman" w:cs="Times New Roman"/>
          <w:sz w:val="28"/>
          <w:szCs w:val="28"/>
        </w:rPr>
        <w:t>ями о бюджете</w:t>
      </w:r>
      <w:r w:rsidRPr="00C62A67">
        <w:rPr>
          <w:rFonts w:ascii="Times New Roman" w:hAnsi="Times New Roman" w:cs="Times New Roman"/>
          <w:sz w:val="28"/>
          <w:szCs w:val="28"/>
        </w:rPr>
        <w:t>.</w:t>
      </w:r>
    </w:p>
    <w:p w:rsidR="00F9336D" w:rsidRDefault="00F9336D" w:rsidP="009508B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7C483F" w:rsidRPr="00452484" w:rsidRDefault="007C483F" w:rsidP="007C483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45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о</w:t>
      </w:r>
      <w:r w:rsidRPr="0045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5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эффектив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ности реализации </w:t>
      </w:r>
      <w:r w:rsidRPr="00452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483F" w:rsidRPr="00820059" w:rsidRDefault="007C483F" w:rsidP="007C483F">
      <w:pPr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820059">
        <w:rPr>
          <w:rFonts w:ascii="Times New Roman" w:hAnsi="Times New Roman" w:cs="Times New Roman"/>
          <w:spacing w:val="-4"/>
          <w:sz w:val="28"/>
          <w:szCs w:val="28"/>
        </w:rPr>
        <w:t>Оценка эффективности реализации программы проводится ежегодно.</w:t>
      </w: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следующим образом и включает в себя:</w:t>
      </w: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реализации мероприятий программы и основных мероприятий;</w:t>
      </w: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степени соответствия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запланированному  уровню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эффективности использования финансовых средств;</w:t>
      </w: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7C483F" w:rsidRPr="00CE49A1" w:rsidRDefault="007C483F" w:rsidP="007C483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49A1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программы.</w:t>
      </w:r>
    </w:p>
    <w:p w:rsidR="007C483F" w:rsidRDefault="007C483F" w:rsidP="007C483F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9830B6">
        <w:rPr>
          <w:rFonts w:ascii="Times New Roman" w:hAnsi="Times New Roman" w:cs="Times New Roman"/>
          <w:color w:val="26282F"/>
          <w:sz w:val="28"/>
          <w:szCs w:val="28"/>
        </w:rPr>
        <w:t xml:space="preserve">Оценка степени реализации </w:t>
      </w:r>
      <w:proofErr w:type="gramStart"/>
      <w:r w:rsidRPr="009830B6">
        <w:rPr>
          <w:rFonts w:ascii="Times New Roman" w:hAnsi="Times New Roman" w:cs="Times New Roman"/>
          <w:color w:val="26282F"/>
          <w:sz w:val="28"/>
          <w:szCs w:val="28"/>
        </w:rPr>
        <w:t>мероприятий  программы</w:t>
      </w:r>
      <w:proofErr w:type="gramEnd"/>
      <w:r w:rsidRPr="009830B6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82F"/>
          <w:sz w:val="28"/>
          <w:szCs w:val="28"/>
        </w:rPr>
        <w:t>и основных  мероприятий.</w:t>
      </w: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Степень реализации мероприятий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 и основных мероприятий,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процент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выполненных в полном объеме по следующей формуле:</w:t>
      </w: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М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/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М,  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hAnsi="Times New Roman" w:cs="Times New Roman"/>
          <w:sz w:val="28"/>
          <w:szCs w:val="28"/>
          <w:lang w:eastAsia="en-US"/>
        </w:rPr>
        <w:t>(1)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мероприятий;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процент</w:t>
      </w:r>
      <w:r w:rsidRPr="000E6B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мероприятий, выполненных в полном объеме, из числа мероприятий, запланированных к реализации в отчетном году;</w:t>
      </w: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–  общ</w:t>
      </w:r>
      <w:r w:rsidR="00D80977">
        <w:rPr>
          <w:rFonts w:ascii="Times New Roman" w:hAnsi="Times New Roman" w:cs="Times New Roman"/>
          <w:sz w:val="28"/>
          <w:szCs w:val="28"/>
          <w:lang w:eastAsia="en-US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80977">
        <w:rPr>
          <w:rFonts w:ascii="Times New Roman" w:hAnsi="Times New Roman" w:cs="Times New Roman"/>
          <w:sz w:val="28"/>
          <w:szCs w:val="28"/>
          <w:lang w:eastAsia="en-US"/>
        </w:rPr>
        <w:t>процент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мероприятий, запланированных к реализации в отчетном году.</w:t>
      </w: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83F" w:rsidRPr="00AD5309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309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7C483F" w:rsidRPr="00C75B3E" w:rsidRDefault="007C483F" w:rsidP="007C483F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C75B3E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бюджетных расходов.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1031"/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соответствия запланированному уровню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расходов оценивается для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и основных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 как</w:t>
      </w:r>
      <w:proofErr w:type="gram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отношение фактически произведенных в отчетном году расходов на их реализацию к плановым значениям по следующей формуле:</w:t>
      </w:r>
    </w:p>
    <w:bookmarkEnd w:id="1"/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ф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</w:t>
      </w:r>
      <w:proofErr w:type="gram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где: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(2)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83F" w:rsidRPr="00820059" w:rsidRDefault="007C483F" w:rsidP="007C483F">
      <w:pPr>
        <w:spacing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СС</w:t>
      </w:r>
      <w:r w:rsidRPr="00820059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уз</w:t>
      </w:r>
      <w:r w:rsidRPr="00820059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- степень соответствия запланированному уровню бюджетных расходов;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ф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факти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ческие расходы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реализацию  мероприятий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в отчетном году;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- объемы финансовых средств, предусмотренные на реализацию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7C483F" w:rsidRPr="00F72B5B" w:rsidRDefault="007C483F" w:rsidP="007C483F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F72B5B">
        <w:rPr>
          <w:rFonts w:ascii="Times New Roman" w:hAnsi="Times New Roman" w:cs="Times New Roman"/>
          <w:color w:val="26282F"/>
          <w:sz w:val="28"/>
          <w:szCs w:val="28"/>
        </w:rPr>
        <w:t>Оценка эффективности использования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F72B5B">
        <w:rPr>
          <w:rFonts w:ascii="Times New Roman" w:hAnsi="Times New Roman" w:cs="Times New Roman"/>
          <w:color w:val="26282F"/>
          <w:sz w:val="28"/>
          <w:szCs w:val="28"/>
        </w:rPr>
        <w:t>финансовых средств</w:t>
      </w:r>
      <w:r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использования финансовых средств рассчитывается </w:t>
      </w:r>
      <w:proofErr w:type="gram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для 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рограммы</w:t>
      </w:r>
      <w:proofErr w:type="gram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основных мероприятий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как отношение степени реализации мероприятий к степени соответствия запланированному 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бюджетных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по следующей формуле: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ис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= 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/ 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где:   </w:t>
      </w:r>
      <w:proofErr w:type="gram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(3)  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ис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средств;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 (1);</w:t>
      </w: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уз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соответствия запланированному </w:t>
      </w:r>
      <w:proofErr w:type="gram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уровню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расходов (2).</w:t>
      </w:r>
    </w:p>
    <w:p w:rsidR="007C483F" w:rsidRPr="00CE49A1" w:rsidRDefault="007C483F" w:rsidP="007C483F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b/>
          <w:color w:val="26282F"/>
          <w:sz w:val="28"/>
          <w:szCs w:val="28"/>
        </w:rPr>
      </w:pPr>
      <w:r w:rsidRPr="00CE49A1">
        <w:rPr>
          <w:rFonts w:ascii="Times New Roman" w:hAnsi="Times New Roman" w:cs="Times New Roman"/>
          <w:b/>
          <w:color w:val="26282F"/>
          <w:sz w:val="28"/>
          <w:szCs w:val="28"/>
        </w:rPr>
        <w:t>Оценка степени достижения целей и решения задач программы и основных мероприятий.</w:t>
      </w: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Для оценки степени достижения целей и решения задач (далее - степень реализации)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и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степень достижения плановых значений каждого целевого показателя, характеризующего цели и задачи программы</w:t>
      </w:r>
      <w:bookmarkStart w:id="2" w:name="sub_105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основных мероприятий.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Степень достижения планового значения целевого показателя рассчитывается</w:t>
      </w:r>
      <w:bookmarkEnd w:id="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формуле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= 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п/пф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/ 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</w:t>
      </w:r>
      <w:proofErr w:type="gramStart"/>
      <w:r w:rsidRPr="00523DCF">
        <w:rPr>
          <w:rFonts w:ascii="Times New Roman" w:hAnsi="Times New Roman" w:cs="Times New Roman"/>
          <w:sz w:val="24"/>
          <w:szCs w:val="24"/>
          <w:lang w:eastAsia="en-US"/>
        </w:rPr>
        <w:t>пп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  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(4)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основного мероприятия;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п/пф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значение целевого показателя программы и основного мероприятия, фактически достигнутое на конец отчетного периода;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- плановое значение целевого показателя программы и основного мероприятия.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1053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Степень реализации программы и основных мероприятий рассчитывается по формуле:</w:t>
      </w:r>
    </w:p>
    <w:bookmarkEnd w:id="3"/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 = (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lang w:eastAsia="en-US"/>
        </w:rPr>
        <w:t xml:space="preserve">1 +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lang w:eastAsia="en-US"/>
        </w:rPr>
        <w:t xml:space="preserve">2 + …+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lang w:val="en-US" w:eastAsia="en-US"/>
        </w:rPr>
        <w:t>n</w:t>
      </w:r>
      <w:r w:rsidRPr="00523DCF">
        <w:rPr>
          <w:rFonts w:ascii="Times New Roman" w:hAnsi="Times New Roman" w:cs="Times New Roman"/>
          <w:lang w:eastAsia="en-US"/>
        </w:rPr>
        <w:t xml:space="preserve">)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/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где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>:                  (5)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lang w:eastAsia="en-US"/>
        </w:rPr>
      </w:pP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62D26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362D26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реализации </w:t>
      </w:r>
      <w:proofErr w:type="gram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достижения планового значения целевого показателя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основного мероприятия(4);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целевых показателей программы и основного мероприятия.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При использовании данной формулы в случаях, если СД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п/ппз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&gt;1, его значение принимается равным 1.</w:t>
      </w:r>
    </w:p>
    <w:p w:rsidR="007C483F" w:rsidRPr="00A51135" w:rsidRDefault="007C483F" w:rsidP="007C483F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sub_106"/>
      <w:r w:rsidRPr="00A5113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и основных мероприятий.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1061"/>
      <w:bookmarkEnd w:id="4"/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5"/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83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= 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п/п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* Э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ис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где:   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(6)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- эффективность реализации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основных мероприятий;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- степень реализации </w:t>
      </w:r>
      <w:proofErr w:type="gramStart"/>
      <w:r w:rsidRPr="00523DCF">
        <w:rPr>
          <w:rFonts w:ascii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основных мероприятий (5);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ис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средств (3).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            признается высокой в случае, если значение 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>п/п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не менее 0,90.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признается средней в случае, если значение 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п/п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0,80.</w:t>
      </w:r>
    </w:p>
    <w:p w:rsidR="007C483F" w:rsidRPr="00523DCF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программы и основных мероприятий признается удовлетворительной в случае, если значение ЭР</w:t>
      </w:r>
      <w:r w:rsidRPr="00523DCF">
        <w:rPr>
          <w:rFonts w:ascii="Times New Roman" w:hAnsi="Times New Roman" w:cs="Times New Roman"/>
          <w:sz w:val="24"/>
          <w:szCs w:val="24"/>
          <w:lang w:eastAsia="en-US"/>
        </w:rPr>
        <w:t xml:space="preserve">п/п </w:t>
      </w:r>
      <w:r w:rsidRPr="00523DCF">
        <w:rPr>
          <w:rFonts w:ascii="Times New Roman" w:hAnsi="Times New Roman" w:cs="Times New Roman"/>
          <w:sz w:val="28"/>
          <w:szCs w:val="28"/>
          <w:lang w:eastAsia="en-US"/>
        </w:rPr>
        <w:t>составляет не менее 0,70.</w:t>
      </w:r>
    </w:p>
    <w:p w:rsidR="007C483F" w:rsidRPr="00362D26" w:rsidRDefault="007C483F" w:rsidP="007C4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23DCF">
        <w:rPr>
          <w:rFonts w:ascii="Times New Roman" w:hAnsi="Times New Roman" w:cs="Times New Roman"/>
          <w:sz w:val="28"/>
          <w:szCs w:val="28"/>
          <w:lang w:eastAsia="en-US"/>
        </w:rPr>
        <w:t>В остальных случаях эффективность реализации программы и основных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62D26">
        <w:rPr>
          <w:rFonts w:ascii="Times New Roman" w:hAnsi="Times New Roman" w:cs="Times New Roman"/>
          <w:sz w:val="28"/>
          <w:szCs w:val="28"/>
          <w:lang w:eastAsia="en-US"/>
        </w:rPr>
        <w:t>мероприяти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признается</w:t>
      </w:r>
      <w:proofErr w:type="gramEnd"/>
      <w:r w:rsidRPr="00362D26">
        <w:rPr>
          <w:rFonts w:ascii="Times New Roman" w:hAnsi="Times New Roman" w:cs="Times New Roman"/>
          <w:sz w:val="28"/>
          <w:szCs w:val="28"/>
          <w:lang w:eastAsia="en-US"/>
        </w:rPr>
        <w:t xml:space="preserve"> неудовлетворительной.</w:t>
      </w:r>
    </w:p>
    <w:p w:rsidR="007C483F" w:rsidRPr="00362D26" w:rsidRDefault="007C483F" w:rsidP="007C483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483F" w:rsidRDefault="007C483F" w:rsidP="00424882">
      <w:pPr>
        <w:pStyle w:val="a9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7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Механизм реализации муниципальной программы и контроль</w:t>
      </w:r>
    </w:p>
    <w:p w:rsidR="007C483F" w:rsidRDefault="007C483F" w:rsidP="007C483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7F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ее выполнением</w:t>
      </w:r>
    </w:p>
    <w:p w:rsidR="007C483F" w:rsidRPr="00277F49" w:rsidRDefault="007C483F" w:rsidP="007C483F">
      <w:pPr>
        <w:pStyle w:val="a9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483F" w:rsidRPr="00AF7239" w:rsidRDefault="007C483F" w:rsidP="007C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7C483F" w:rsidRDefault="007C483F" w:rsidP="007C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7239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координатор программы –</w:t>
      </w:r>
      <w:r>
        <w:rPr>
          <w:rFonts w:ascii="Times New Roman" w:hAnsi="Times New Roman" w:cs="Times New Roman"/>
          <w:sz w:val="28"/>
          <w:szCs w:val="28"/>
        </w:rPr>
        <w:t xml:space="preserve"> отдел по общим и правовым вопросам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Динского района, который:</w:t>
      </w:r>
    </w:p>
    <w:p w:rsidR="007C483F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7C483F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7C483F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7C483F" w:rsidRDefault="007C483F" w:rsidP="007C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7C483F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C483F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финансово-экономический отдел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</w:t>
      </w:r>
      <w:r w:rsidRPr="0098238E">
        <w:rPr>
          <w:rFonts w:ascii="Times New Roman" w:hAnsi="Times New Roman" w:cs="Times New Roman"/>
          <w:color w:val="000000"/>
          <w:sz w:val="28"/>
          <w:szCs w:val="28"/>
        </w:rPr>
        <w:t>отчетность, необходимую для осуществления контроля за реализацией муниципальной программы;</w:t>
      </w:r>
    </w:p>
    <w:p w:rsidR="007C483F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8238E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7C483F" w:rsidRPr="009636E8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размещение </w:t>
      </w:r>
      <w:r w:rsidRPr="00516ED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 w:rsidRPr="001444E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</w:t>
      </w:r>
      <w:r w:rsidRPr="009636E8">
        <w:rPr>
          <w:rFonts w:ascii="Times New Roman" w:hAnsi="Times New Roman" w:cs="Times New Roman"/>
          <w:color w:val="000000"/>
          <w:sz w:val="28"/>
          <w:szCs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7C483F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636E8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7C483F" w:rsidRPr="0067582F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Главный распорядитель бюджетных средств -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полномочий, установленных </w:t>
      </w:r>
      <w:hyperlink r:id="rId7" w:history="1">
        <w:r w:rsidRPr="0067582F">
          <w:rPr>
            <w:rStyle w:val="aa"/>
            <w:rFonts w:ascii="Times New Roman" w:hAnsi="Times New Roman"/>
            <w:color w:val="00000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483F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582F">
        <w:rPr>
          <w:rFonts w:ascii="Times New Roman" w:hAnsi="Times New Roman" w:cs="Times New Roman"/>
          <w:color w:val="000000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7C483F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бюджетным законодательством РФ.</w:t>
      </w:r>
    </w:p>
    <w:p w:rsidR="007C483F" w:rsidRPr="00D678EB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6" w:name="sub_415"/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Исполнитель:</w:t>
      </w:r>
    </w:p>
    <w:bookmarkEnd w:id="6"/>
    <w:p w:rsidR="007C483F" w:rsidRPr="00D678EB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обеспечивает реализацию мероприятия и проводит анализ его выполнения;</w:t>
      </w:r>
    </w:p>
    <w:p w:rsidR="007C483F" w:rsidRPr="00D678EB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представляет отчетность о результатах выполнения основных мероприятий;</w:t>
      </w:r>
    </w:p>
    <w:p w:rsidR="007C483F" w:rsidRPr="004E4200" w:rsidRDefault="007C483F" w:rsidP="007C483F">
      <w:pPr>
        <w:spacing w:line="240" w:lineRule="auto"/>
        <w:ind w:firstLine="56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</w:t>
      </w:r>
      <w:r w:rsidRPr="00D678E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осуществляет иные полномочия, установленные муниципальной программой.</w:t>
      </w:r>
    </w:p>
    <w:p w:rsidR="009508BB" w:rsidRDefault="009508BB" w:rsidP="009508BB">
      <w:pPr>
        <w:autoSpaceDE w:val="0"/>
        <w:autoSpaceDN w:val="0"/>
        <w:adjustRightInd w:val="0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80977" w:rsidRDefault="00D80977" w:rsidP="009508BB">
      <w:pPr>
        <w:autoSpaceDE w:val="0"/>
        <w:autoSpaceDN w:val="0"/>
        <w:adjustRightInd w:val="0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8BB" w:rsidRDefault="009508BB" w:rsidP="00921612">
      <w:pPr>
        <w:autoSpaceDE w:val="0"/>
        <w:autoSpaceDN w:val="0"/>
        <w:adjustRightIn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508BB" w:rsidRDefault="00AD7146" w:rsidP="009508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08BB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:rsidR="009348B9" w:rsidRDefault="009508BB" w:rsidP="009508BB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                                      </w:t>
      </w:r>
      <w:r w:rsidR="0092161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6EB">
        <w:rPr>
          <w:rFonts w:ascii="Times New Roman" w:hAnsi="Times New Roman" w:cs="Times New Roman"/>
          <w:sz w:val="28"/>
          <w:szCs w:val="28"/>
        </w:rPr>
        <w:t>О.Н. Омельченко</w:t>
      </w:r>
    </w:p>
    <w:sectPr w:rsidR="009348B9" w:rsidSect="009508BB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5AE" w:rsidRDefault="00D115AE" w:rsidP="009508BB">
      <w:pPr>
        <w:spacing w:line="240" w:lineRule="auto"/>
      </w:pPr>
      <w:r>
        <w:separator/>
      </w:r>
    </w:p>
  </w:endnote>
  <w:endnote w:type="continuationSeparator" w:id="0">
    <w:p w:rsidR="00D115AE" w:rsidRDefault="00D115AE" w:rsidP="00950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5AE" w:rsidRDefault="00D115AE" w:rsidP="009508BB">
      <w:pPr>
        <w:spacing w:line="240" w:lineRule="auto"/>
      </w:pPr>
      <w:r>
        <w:separator/>
      </w:r>
    </w:p>
  </w:footnote>
  <w:footnote w:type="continuationSeparator" w:id="0">
    <w:p w:rsidR="00D115AE" w:rsidRDefault="00D115AE" w:rsidP="00950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442959"/>
      <w:docPartObj>
        <w:docPartGallery w:val="Page Numbers (Top of Page)"/>
        <w:docPartUnique/>
      </w:docPartObj>
    </w:sdtPr>
    <w:sdtEndPr/>
    <w:sdtContent>
      <w:p w:rsidR="009508BB" w:rsidRDefault="009508BB">
        <w:pPr>
          <w:pStyle w:val="a3"/>
          <w:jc w:val="center"/>
        </w:pPr>
        <w:r w:rsidRPr="00950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8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70F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950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08BB" w:rsidRDefault="009508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5266A"/>
    <w:multiLevelType w:val="hybridMultilevel"/>
    <w:tmpl w:val="36302A62"/>
    <w:lvl w:ilvl="0" w:tplc="0770A512">
      <w:start w:val="6"/>
      <w:numFmt w:val="decimal"/>
      <w:lvlText w:val="%1."/>
      <w:lvlJc w:val="left"/>
      <w:pPr>
        <w:ind w:left="333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" w15:restartNumberingAfterBreak="0">
    <w:nsid w:val="6B3809B5"/>
    <w:multiLevelType w:val="hybridMultilevel"/>
    <w:tmpl w:val="50E84D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8BB"/>
    <w:rsid w:val="00013736"/>
    <w:rsid w:val="00053016"/>
    <w:rsid w:val="0008477F"/>
    <w:rsid w:val="000C7E0F"/>
    <w:rsid w:val="000D7DC9"/>
    <w:rsid w:val="00154ED3"/>
    <w:rsid w:val="001A413F"/>
    <w:rsid w:val="001B236D"/>
    <w:rsid w:val="0025224B"/>
    <w:rsid w:val="00252431"/>
    <w:rsid w:val="00280482"/>
    <w:rsid w:val="002A5A65"/>
    <w:rsid w:val="002E1D56"/>
    <w:rsid w:val="002E2125"/>
    <w:rsid w:val="002E5B53"/>
    <w:rsid w:val="00322DC3"/>
    <w:rsid w:val="003465F5"/>
    <w:rsid w:val="0038721A"/>
    <w:rsid w:val="003D17ED"/>
    <w:rsid w:val="003F319E"/>
    <w:rsid w:val="00424882"/>
    <w:rsid w:val="00434CA2"/>
    <w:rsid w:val="00441F4F"/>
    <w:rsid w:val="004F214F"/>
    <w:rsid w:val="005148BD"/>
    <w:rsid w:val="00553890"/>
    <w:rsid w:val="00626BFD"/>
    <w:rsid w:val="0064403C"/>
    <w:rsid w:val="00656EC1"/>
    <w:rsid w:val="006B66AC"/>
    <w:rsid w:val="006E1764"/>
    <w:rsid w:val="006F2C78"/>
    <w:rsid w:val="006F2E73"/>
    <w:rsid w:val="007C483F"/>
    <w:rsid w:val="007E7093"/>
    <w:rsid w:val="00843505"/>
    <w:rsid w:val="008777BE"/>
    <w:rsid w:val="008A7623"/>
    <w:rsid w:val="008C2DD1"/>
    <w:rsid w:val="00921155"/>
    <w:rsid w:val="00921612"/>
    <w:rsid w:val="009331E4"/>
    <w:rsid w:val="009348B9"/>
    <w:rsid w:val="009508BB"/>
    <w:rsid w:val="009858DF"/>
    <w:rsid w:val="00994709"/>
    <w:rsid w:val="009956EB"/>
    <w:rsid w:val="009A4154"/>
    <w:rsid w:val="009E3CEB"/>
    <w:rsid w:val="00A2123B"/>
    <w:rsid w:val="00A248EF"/>
    <w:rsid w:val="00A46546"/>
    <w:rsid w:val="00A670FF"/>
    <w:rsid w:val="00AC45D7"/>
    <w:rsid w:val="00AD15DE"/>
    <w:rsid w:val="00AD7146"/>
    <w:rsid w:val="00AF0938"/>
    <w:rsid w:val="00B03EDB"/>
    <w:rsid w:val="00B35958"/>
    <w:rsid w:val="00BA3F11"/>
    <w:rsid w:val="00BE59B6"/>
    <w:rsid w:val="00BF778E"/>
    <w:rsid w:val="00CC4144"/>
    <w:rsid w:val="00CE49A1"/>
    <w:rsid w:val="00D115AE"/>
    <w:rsid w:val="00D3416A"/>
    <w:rsid w:val="00D80977"/>
    <w:rsid w:val="00D95A1C"/>
    <w:rsid w:val="00DB6171"/>
    <w:rsid w:val="00DD0DAA"/>
    <w:rsid w:val="00E00AAA"/>
    <w:rsid w:val="00E9779E"/>
    <w:rsid w:val="00EB38BC"/>
    <w:rsid w:val="00EB4221"/>
    <w:rsid w:val="00ED0004"/>
    <w:rsid w:val="00EE10CE"/>
    <w:rsid w:val="00EF0062"/>
    <w:rsid w:val="00F25B88"/>
    <w:rsid w:val="00F76A30"/>
    <w:rsid w:val="00F8641C"/>
    <w:rsid w:val="00F9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DBB5"/>
  <w15:docId w15:val="{7612A943-BD3A-4956-B3F9-DA9D2B7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8BB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508B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9508BB"/>
    <w:rPr>
      <w:rFonts w:ascii="Arial" w:eastAsia="Times New Roman" w:hAnsi="Arial" w:cs="Mangal"/>
      <w:kern w:val="1"/>
      <w:sz w:val="20"/>
      <w:szCs w:val="18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465F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5F5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customStyle="1" w:styleId="1">
    <w:name w:val="Знак1 Знак"/>
    <w:basedOn w:val="a"/>
    <w:uiPriority w:val="99"/>
    <w:rsid w:val="007C483F"/>
    <w:pPr>
      <w:widowControl/>
      <w:suppressAutoHyphens w:val="0"/>
      <w:spacing w:after="160" w:line="240" w:lineRule="exact"/>
      <w:ind w:firstLine="0"/>
      <w:jc w:val="left"/>
    </w:pPr>
    <w:rPr>
      <w:rFonts w:ascii="Verdana" w:hAnsi="Verdana" w:cs="Verdana"/>
      <w:kern w:val="0"/>
      <w:lang w:val="en-US" w:eastAsia="en-US" w:bidi="ar-SA"/>
    </w:rPr>
  </w:style>
  <w:style w:type="paragraph" w:styleId="a9">
    <w:name w:val="List Paragraph"/>
    <w:basedOn w:val="a"/>
    <w:uiPriority w:val="99"/>
    <w:qFormat/>
    <w:rsid w:val="007C483F"/>
    <w:pPr>
      <w:widowControl/>
      <w:suppressAutoHyphens w:val="0"/>
      <w:spacing w:after="200" w:line="276" w:lineRule="auto"/>
      <w:ind w:left="720" w:firstLine="0"/>
      <w:jc w:val="left"/>
    </w:pPr>
    <w:rPr>
      <w:rFonts w:ascii="Calibri" w:hAnsi="Calibri" w:cs="Calibri"/>
      <w:kern w:val="0"/>
      <w:sz w:val="22"/>
      <w:szCs w:val="22"/>
      <w:lang w:eastAsia="ru-RU" w:bidi="ar-SA"/>
    </w:rPr>
  </w:style>
  <w:style w:type="character" w:customStyle="1" w:styleId="aa">
    <w:name w:val="Гипертекстовая ссылка"/>
    <w:uiPriority w:val="99"/>
    <w:rsid w:val="007C483F"/>
    <w:rPr>
      <w:rFonts w:cs="Times New Roman"/>
      <w:color w:val="008000"/>
    </w:rPr>
  </w:style>
  <w:style w:type="paragraph" w:customStyle="1" w:styleId="ConsNormal">
    <w:name w:val="ConsNormal"/>
    <w:uiPriority w:val="99"/>
    <w:rsid w:val="002E2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3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8A7623"/>
    <w:pPr>
      <w:suppressAutoHyphens w:val="0"/>
      <w:autoSpaceDE w:val="0"/>
      <w:autoSpaceDN w:val="0"/>
      <w:adjustRightInd w:val="0"/>
      <w:spacing w:line="240" w:lineRule="auto"/>
      <w:ind w:firstLine="0"/>
    </w:pPr>
    <w:rPr>
      <w:rFonts w:ascii="Times New Roman CYR" w:eastAsiaTheme="minorEastAsia" w:hAnsi="Times New Roman CYR" w:cs="Times New Roman CYR"/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ASUS</cp:lastModifiedBy>
  <cp:revision>56</cp:revision>
  <cp:lastPrinted>2018-10-29T08:25:00Z</cp:lastPrinted>
  <dcterms:created xsi:type="dcterms:W3CDTF">2014-11-24T10:59:00Z</dcterms:created>
  <dcterms:modified xsi:type="dcterms:W3CDTF">2021-10-21T11:24:00Z</dcterms:modified>
</cp:coreProperties>
</file>