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DC6D8" w14:textId="36DD26E5" w:rsidR="00065C07" w:rsidRDefault="00065C07" w:rsidP="009060C7">
      <w:pPr>
        <w:spacing w:after="0" w:line="240" w:lineRule="auto"/>
        <w:jc w:val="center"/>
        <w:rPr>
          <w:rFonts w:ascii="Times New Roman" w:eastAsiaTheme="minorEastAsia" w:hAnsi="Times New Roman"/>
          <w:noProof/>
          <w:kern w:val="2"/>
          <w:sz w:val="28"/>
          <w:szCs w:val="28"/>
          <w:lang w:val="en-US"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CF1BA6" wp14:editId="47B2F13A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1320" w14:textId="77777777" w:rsidR="00065C07" w:rsidRPr="009060C7" w:rsidRDefault="00065C07" w:rsidP="009060C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9060C7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14:paraId="4924977A" w14:textId="77777777" w:rsidR="00065C07" w:rsidRPr="009060C7" w:rsidRDefault="00065C07" w:rsidP="009060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9060C7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1BD4100B" w14:textId="77777777" w:rsidR="00065C07" w:rsidRPr="009060C7" w:rsidRDefault="00065C07" w:rsidP="009060C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31783EFA" w14:textId="77777777" w:rsidR="00065C07" w:rsidRPr="009060C7" w:rsidRDefault="00065C07" w:rsidP="009060C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60C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5303287F" w14:textId="0CA3515C" w:rsidR="00065C07" w:rsidRDefault="00065C07" w:rsidP="009060C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09.02.2021                                              </w:t>
      </w:r>
      <w:r w:rsidR="009060C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№ 53 </w:t>
      </w:r>
    </w:p>
    <w:p w14:paraId="0E0F4C63" w14:textId="77777777" w:rsidR="00065C07" w:rsidRDefault="00065C07" w:rsidP="00906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ст. Новотитаровская</w:t>
      </w:r>
    </w:p>
    <w:p w14:paraId="42C99C9F" w14:textId="77777777" w:rsidR="00B4115C" w:rsidRDefault="00B4115C" w:rsidP="00B60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FE6FB" w14:textId="77777777" w:rsidR="009060C7" w:rsidRDefault="009060C7" w:rsidP="00B60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D1727" w14:textId="77777777" w:rsidR="009060C7" w:rsidRDefault="009060C7" w:rsidP="00B60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BF944" w14:textId="4BA2E21F" w:rsidR="00B603FD" w:rsidRPr="00B603FD" w:rsidRDefault="00B603FD" w:rsidP="00B60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3258045"/>
      <w:bookmarkStart w:id="1" w:name="_GoBack"/>
      <w:r w:rsidRPr="00B603F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принятия решений о заключении долгосрочных муниципальных контрактов</w:t>
      </w:r>
    </w:p>
    <w:bookmarkEnd w:id="0"/>
    <w:p w14:paraId="58F6A036" w14:textId="77777777" w:rsidR="00B603FD" w:rsidRDefault="00B603FD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F1E29A2" w14:textId="77777777" w:rsidR="009060C7" w:rsidRPr="00B603FD" w:rsidRDefault="009060C7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E7943" w14:textId="7BB42580" w:rsidR="00B603FD" w:rsidRPr="00B603FD" w:rsidRDefault="00B603FD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AF326" w14:textId="132FE600" w:rsidR="00B603FD" w:rsidRPr="00B603FD" w:rsidRDefault="00B603FD" w:rsidP="009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>В соответствии со статьей 72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Уставом 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03FD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14:paraId="408EB982" w14:textId="126C75AB" w:rsidR="00B603FD" w:rsidRPr="00B603FD" w:rsidRDefault="00B603FD" w:rsidP="009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решений о заключении долгосрочных муниципальных контрактов согласно приложению к настоящему постановлению. </w:t>
      </w:r>
    </w:p>
    <w:p w14:paraId="2C170E00" w14:textId="7C0B5D6E" w:rsidR="00B603FD" w:rsidRPr="00B603FD" w:rsidRDefault="00B603FD" w:rsidP="009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>2.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B603FD"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 w:rsidRPr="00B603FD">
        <w:rPr>
          <w:rFonts w:ascii="Times New Roman" w:hAnsi="Times New Roman" w:cs="Times New Roman"/>
          <w:sz w:val="28"/>
          <w:szCs w:val="28"/>
        </w:rPr>
        <w:t>) обнародовать настоящее постановление разместить на официальном сайте Новотитаровского сельского поселения Динского района в сети интернет www.novotitarovskaya.info.</w:t>
      </w:r>
    </w:p>
    <w:p w14:paraId="0B80EB92" w14:textId="3038FD62" w:rsidR="00B603FD" w:rsidRPr="00B603FD" w:rsidRDefault="00B603FD" w:rsidP="009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03F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BDA0426" w14:textId="398C924C" w:rsidR="00B603FD" w:rsidRPr="00B603FD" w:rsidRDefault="00B603FD" w:rsidP="009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03FD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14:paraId="25DE03EB" w14:textId="77777777" w:rsidR="00B603FD" w:rsidRPr="00B603FD" w:rsidRDefault="00B603FD" w:rsidP="00B6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2BF4F" w14:textId="5149073E" w:rsidR="00B603FD" w:rsidRPr="00B603FD" w:rsidRDefault="00B603FD" w:rsidP="00B6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23268" w14:textId="354EDB1F" w:rsidR="00B603FD" w:rsidRPr="00B603FD" w:rsidRDefault="00B603FD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0C915" w14:textId="77777777" w:rsidR="00B603FD" w:rsidRDefault="00B603FD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14:paraId="6944B198" w14:textId="2ABB3DE0" w:rsidR="00B603FD" w:rsidRPr="00B603FD" w:rsidRDefault="009060C7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 w:rsidR="00B603FD">
        <w:rPr>
          <w:rFonts w:ascii="Times New Roman" w:hAnsi="Times New Roman" w:cs="Times New Roman"/>
          <w:sz w:val="28"/>
          <w:szCs w:val="28"/>
        </w:rPr>
        <w:t>С.К. Кошман</w:t>
      </w:r>
    </w:p>
    <w:p w14:paraId="2F973FAE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872BA18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45A1A49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FAF4E1E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354A872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1CEE532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93B8973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C14FC43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C1E5701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FC91D5" w14:textId="77777777" w:rsidR="009060C7" w:rsidRDefault="009060C7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48B5088" w14:textId="77777777" w:rsidR="00B603FD" w:rsidRDefault="00B603FD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25E2D40" w14:textId="77777777" w:rsidR="00247ADD" w:rsidRDefault="00B603FD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Новотитаровского </w:t>
      </w:r>
    </w:p>
    <w:p w14:paraId="32B98C7A" w14:textId="01FAD302" w:rsidR="00B603FD" w:rsidRDefault="00B603FD" w:rsidP="00B603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E7DB6A4" w14:textId="5B285F05" w:rsidR="00247ADD" w:rsidRPr="00B714E9" w:rsidRDefault="00247ADD" w:rsidP="009060C7">
      <w:pPr>
        <w:pStyle w:val="a7"/>
        <w:spacing w:after="0" w:line="240" w:lineRule="auto"/>
        <w:ind w:left="5823"/>
        <w:rPr>
          <w:rFonts w:ascii="Times New Roman" w:hAnsi="Times New Roman" w:cs="Times New Roman"/>
          <w:sz w:val="28"/>
          <w:szCs w:val="28"/>
        </w:rPr>
      </w:pPr>
      <w:r w:rsidRPr="00B714E9">
        <w:rPr>
          <w:rFonts w:ascii="Times New Roman" w:hAnsi="Times New Roman" w:cs="Times New Roman"/>
          <w:sz w:val="28"/>
          <w:szCs w:val="28"/>
        </w:rPr>
        <w:t xml:space="preserve">от </w:t>
      </w:r>
      <w:r w:rsidR="00065C07" w:rsidRPr="00B714E9">
        <w:rPr>
          <w:rFonts w:ascii="Times New Roman" w:hAnsi="Times New Roman" w:cs="Times New Roman"/>
          <w:sz w:val="28"/>
          <w:szCs w:val="28"/>
        </w:rPr>
        <w:t>09.02.</w:t>
      </w:r>
      <w:r w:rsidRPr="00B714E9">
        <w:rPr>
          <w:rFonts w:ascii="Times New Roman" w:hAnsi="Times New Roman" w:cs="Times New Roman"/>
          <w:sz w:val="28"/>
          <w:szCs w:val="28"/>
        </w:rPr>
        <w:t>2021 года №</w:t>
      </w:r>
      <w:r w:rsidR="00065C07" w:rsidRPr="00B714E9">
        <w:rPr>
          <w:rFonts w:ascii="Times New Roman" w:hAnsi="Times New Roman" w:cs="Times New Roman"/>
          <w:sz w:val="28"/>
          <w:szCs w:val="28"/>
        </w:rPr>
        <w:t xml:space="preserve"> 53</w:t>
      </w:r>
    </w:p>
    <w:p w14:paraId="134F049B" w14:textId="142A1872" w:rsidR="00B603FD" w:rsidRPr="00B603FD" w:rsidRDefault="00B603FD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07171" w14:textId="77777777" w:rsidR="00B603FD" w:rsidRPr="00B603FD" w:rsidRDefault="00B603FD" w:rsidP="00B6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CF2A9" w14:textId="77777777" w:rsidR="00B603FD" w:rsidRPr="00247ADD" w:rsidRDefault="00B603FD" w:rsidP="00247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AD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B5BD6FE" w14:textId="233349C8" w:rsidR="00B603FD" w:rsidRPr="00247ADD" w:rsidRDefault="00B603FD" w:rsidP="00247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ADD">
        <w:rPr>
          <w:rFonts w:ascii="Times New Roman" w:hAnsi="Times New Roman" w:cs="Times New Roman"/>
          <w:b/>
          <w:bCs/>
          <w:sz w:val="28"/>
          <w:szCs w:val="28"/>
        </w:rPr>
        <w:t>принятия решений о заключении долгосрочных муниципальных контрактов</w:t>
      </w:r>
    </w:p>
    <w:p w14:paraId="4D539767" w14:textId="77777777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EDB707" w14:textId="67D2D110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1. Настоящий Порядок, в соответствии с пунктом 3 статьи 72 Бюджетного кодекса Российской Федерации, устанавливает правила принятия решений о заключении от имени </w:t>
      </w:r>
      <w:r w:rsidR="00247A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ADD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 муниципальных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а также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пределах средств, предусмотренных на соответствующие цели муниципальными программами </w:t>
      </w:r>
      <w:r w:rsidR="00247A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ADD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 (далее - долгосрочные муниципальные контракты). </w:t>
      </w:r>
    </w:p>
    <w:p w14:paraId="6E489E16" w14:textId="3AF2F134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2. При размещении заказов на поставку товаров, выполнение работ, оказание услуг для муниципальных нужд </w:t>
      </w:r>
      <w:r w:rsidR="001C11F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11F0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района, муниципальные заказчики вправе заключать: </w:t>
      </w:r>
    </w:p>
    <w:p w14:paraId="6D93A0B5" w14:textId="7B15810B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1)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</w:t>
      </w:r>
      <w:r w:rsidR="001C11F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11F0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района, принимаемыми в соответствии со статьей 79 Бюджетного кодекса Российской Федерации на срок реализации указанных решений; </w:t>
      </w:r>
    </w:p>
    <w:p w14:paraId="4FF21395" w14:textId="1EEDD6FA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2)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случаях, предусмотренных нормативными правовыми актами администрации </w:t>
      </w:r>
      <w:r w:rsidR="001C11F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11F0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района, в пределах средств и на сроки, которые установлены указанными актами; </w:t>
      </w:r>
    </w:p>
    <w:p w14:paraId="5B37CED3" w14:textId="046853AC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lastRenderedPageBreak/>
        <w:t xml:space="preserve">3) муниципальные </w:t>
      </w:r>
      <w:proofErr w:type="spellStart"/>
      <w:r w:rsidRPr="00B603FD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B603FD">
        <w:rPr>
          <w:rFonts w:ascii="Times New Roman" w:hAnsi="Times New Roman" w:cs="Times New Roman"/>
          <w:sz w:val="28"/>
          <w:szCs w:val="28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 </w:t>
      </w:r>
    </w:p>
    <w:p w14:paraId="17826F02" w14:textId="41796590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4)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исполнения, заключаемые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r w:rsidR="001C11F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11F0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района, в соответствии с решениями администрации </w:t>
      </w:r>
      <w:r w:rsidR="001C11F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11F0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района, принимаемыми в соответствии с настоящим Порядком; </w:t>
      </w:r>
    </w:p>
    <w:p w14:paraId="72A7BB57" w14:textId="0F5D4C0E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5) 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r w:rsidR="001C11F0" w:rsidRPr="001C11F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 настоящим Порядком. </w:t>
      </w:r>
    </w:p>
    <w:p w14:paraId="2E4E01C1" w14:textId="353E30EB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03FD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1C11F0" w:rsidRPr="001C11F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 xml:space="preserve"> о заключении долгосрочных муниципальных контрактов, предусмотренных подпунктами 4, 5 пункта 2 настоящего Порядка, принимается в форме постановления администрации </w:t>
      </w:r>
      <w:r w:rsidR="001C11F0" w:rsidRPr="001C11F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 xml:space="preserve">, подготовка проекта которого осуществляется органом местного самоуправления </w:t>
      </w:r>
      <w:r w:rsidR="001C11F0" w:rsidRPr="001C11F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>, главным распорядителем бюджетных средств, которому доведены соответствующие бюджетные ассигнования на текущий финансовый год, в установленном порядке с</w:t>
      </w:r>
      <w:proofErr w:type="gramEnd"/>
      <w:r w:rsidRPr="00B603FD">
        <w:rPr>
          <w:rFonts w:ascii="Times New Roman" w:hAnsi="Times New Roman" w:cs="Times New Roman"/>
          <w:sz w:val="28"/>
          <w:szCs w:val="28"/>
        </w:rPr>
        <w:t xml:space="preserve"> учетом следующих особенностей: </w:t>
      </w:r>
    </w:p>
    <w:p w14:paraId="5DC2DA5F" w14:textId="241B7463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1) проект постановления администрации </w:t>
      </w:r>
      <w:r w:rsidR="001C11F0" w:rsidRPr="001C11F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603FD">
        <w:rPr>
          <w:rFonts w:ascii="Times New Roman" w:hAnsi="Times New Roman" w:cs="Times New Roman"/>
          <w:sz w:val="28"/>
          <w:szCs w:val="28"/>
        </w:rPr>
        <w:t xml:space="preserve">и пояснительная записка к нему направляются на согласование </w:t>
      </w:r>
      <w:r w:rsidR="001C11F0">
        <w:rPr>
          <w:rFonts w:ascii="Times New Roman" w:hAnsi="Times New Roman" w:cs="Times New Roman"/>
          <w:sz w:val="28"/>
          <w:szCs w:val="28"/>
        </w:rPr>
        <w:t>начальнику финансово-экономического отдела (Кожевниковой)</w:t>
      </w:r>
      <w:r w:rsidRPr="00B603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11F0" w:rsidRPr="001C11F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4F48E0" w14:textId="33F4E7C0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2) </w:t>
      </w:r>
      <w:r w:rsidR="001C11F0" w:rsidRPr="001C11F0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(Кожевников</w:t>
      </w:r>
      <w:r w:rsidR="001C11F0">
        <w:rPr>
          <w:rFonts w:ascii="Times New Roman" w:hAnsi="Times New Roman" w:cs="Times New Roman"/>
          <w:sz w:val="28"/>
          <w:szCs w:val="28"/>
        </w:rPr>
        <w:t>а</w:t>
      </w:r>
      <w:r w:rsidR="001C11F0" w:rsidRPr="001C11F0">
        <w:rPr>
          <w:rFonts w:ascii="Times New Roman" w:hAnsi="Times New Roman" w:cs="Times New Roman"/>
          <w:sz w:val="28"/>
          <w:szCs w:val="28"/>
        </w:rPr>
        <w:t xml:space="preserve">) администрации Новотитаровского сельского поселения Динского района </w:t>
      </w:r>
      <w:r w:rsidRPr="00B603FD">
        <w:rPr>
          <w:rFonts w:ascii="Times New Roman" w:hAnsi="Times New Roman" w:cs="Times New Roman"/>
          <w:sz w:val="28"/>
          <w:szCs w:val="28"/>
        </w:rPr>
        <w:t xml:space="preserve">в срок, не превышающий 10 рабочих дней с даты получения проекта постановления администрации </w:t>
      </w:r>
      <w:r w:rsidR="001C11F0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11F0">
        <w:rPr>
          <w:rFonts w:ascii="Times New Roman" w:hAnsi="Times New Roman" w:cs="Times New Roman"/>
          <w:sz w:val="28"/>
          <w:szCs w:val="28"/>
        </w:rPr>
        <w:t>Динского</w:t>
      </w:r>
      <w:r w:rsidRPr="00B603FD">
        <w:rPr>
          <w:rFonts w:ascii="Times New Roman" w:hAnsi="Times New Roman" w:cs="Times New Roman"/>
          <w:sz w:val="28"/>
          <w:szCs w:val="28"/>
        </w:rPr>
        <w:t xml:space="preserve"> района и пояснительной записки к нему, согласовывает указанный проект при соблюдении следующих условий: </w:t>
      </w:r>
    </w:p>
    <w:p w14:paraId="41C0B5C3" w14:textId="38A8CB8E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соответствие предлагаемого к заключению долгосрочного муниципального контракта реестру расходных обязательств </w:t>
      </w:r>
      <w:r w:rsidR="001C11F0" w:rsidRPr="001C11F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6BF078" w14:textId="4C4CC831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3FD">
        <w:rPr>
          <w:rFonts w:ascii="Times New Roman" w:hAnsi="Times New Roman" w:cs="Times New Roman"/>
          <w:sz w:val="28"/>
          <w:szCs w:val="28"/>
        </w:rPr>
        <w:lastRenderedPageBreak/>
        <w:t>непревышение</w:t>
      </w:r>
      <w:proofErr w:type="spellEnd"/>
      <w:r w:rsidRPr="00B603FD">
        <w:rPr>
          <w:rFonts w:ascii="Times New Roman" w:hAnsi="Times New Roman" w:cs="Times New Roman"/>
          <w:sz w:val="28"/>
          <w:szCs w:val="28"/>
        </w:rPr>
        <w:t xml:space="preserve"> предельного объема бюджетных ассигнований, предусматриваемых на оплату долгосрочного муниципального контракта в текущем финансовом году, над бюджетными ассигнованиями, предусмотренными на исполнение соответствующего расходного обязательства решением Совета </w:t>
      </w:r>
      <w:r w:rsidR="001C11F0" w:rsidRPr="001C11F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603F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C11F0" w:rsidRPr="001C11F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603FD">
        <w:rPr>
          <w:rFonts w:ascii="Times New Roman" w:hAnsi="Times New Roman" w:cs="Times New Roman"/>
          <w:sz w:val="28"/>
          <w:szCs w:val="28"/>
        </w:rPr>
        <w:t xml:space="preserve">на текущий финансовый год; </w:t>
      </w:r>
    </w:p>
    <w:p w14:paraId="5C5AB8FC" w14:textId="04DCD760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3F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603FD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долгосрочного муниципального контракта за пределами планового периода, над максимальным годовым объемом бюджетных ассигнований, предусмотренных на оплату указанного контракта в пределах планового периода (в текущем финансовом году); </w:t>
      </w:r>
    </w:p>
    <w:p w14:paraId="45DC1D42" w14:textId="12925EDA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3F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603FD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предусмотренных на оплату долгосрочных муниципальных контрактов, указанных в подпункте 4 пункта 2 настоящего Порядка, над объемами финансирования, предусмотренными муниципальной программой </w:t>
      </w:r>
      <w:r w:rsidR="001C11F0" w:rsidRPr="001C11F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603FD">
        <w:rPr>
          <w:rFonts w:ascii="Times New Roman" w:hAnsi="Times New Roman" w:cs="Times New Roman"/>
          <w:sz w:val="28"/>
          <w:szCs w:val="28"/>
        </w:rPr>
        <w:t xml:space="preserve">на соответствующие цели. </w:t>
      </w:r>
    </w:p>
    <w:p w14:paraId="4E0C7060" w14:textId="4FA36BBA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4. По долгосрочным муниципальным контрактам, предусмотренным подпунктом 4 пункта 2 настоящего Порядка, постановление администрации </w:t>
      </w:r>
      <w:r w:rsidR="001C11F0" w:rsidRPr="001C11F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603FD">
        <w:rPr>
          <w:rFonts w:ascii="Times New Roman" w:hAnsi="Times New Roman" w:cs="Times New Roman"/>
          <w:sz w:val="28"/>
          <w:szCs w:val="28"/>
        </w:rPr>
        <w:t xml:space="preserve">должно содержать: </w:t>
      </w:r>
    </w:p>
    <w:p w14:paraId="0899556D" w14:textId="7BBD6484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1) указание на муниципальную </w:t>
      </w:r>
      <w:r w:rsidR="001C11F0" w:rsidRPr="001C11F0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603FD">
        <w:rPr>
          <w:rFonts w:ascii="Times New Roman" w:hAnsi="Times New Roman" w:cs="Times New Roman"/>
          <w:sz w:val="28"/>
          <w:szCs w:val="28"/>
        </w:rPr>
        <w:t xml:space="preserve">, предусматривающую соответствующее мероприятие (при наличии); </w:t>
      </w:r>
    </w:p>
    <w:p w14:paraId="25D9CCC3" w14:textId="60062A14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2) наименование поставляемого товара; </w:t>
      </w:r>
    </w:p>
    <w:p w14:paraId="6D34B7D9" w14:textId="67893D58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3) количество поставляемого товара; </w:t>
      </w:r>
    </w:p>
    <w:p w14:paraId="6F1EE7A7" w14:textId="17035162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4) сроки (периодичность) поставки товара; </w:t>
      </w:r>
    </w:p>
    <w:p w14:paraId="021BD2F1" w14:textId="7555CC1A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5) предмет встречного обязательства и срок его исполнения; </w:t>
      </w:r>
    </w:p>
    <w:p w14:paraId="1C2A3C47" w14:textId="778407CA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6) предельный объем средств на выполнение долгосрочного муниципального контракта (долгосрочных муниципальных контрактов) с разбивкой по годам. </w:t>
      </w:r>
    </w:p>
    <w:p w14:paraId="7BE78416" w14:textId="2253DD27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5. По долгосрочным муниципальным контрактам, предусмотренным подпунктом 5 пункта 2 настоящего Порядка, постановление администрации </w:t>
      </w:r>
      <w:r w:rsidR="001C11F0" w:rsidRPr="001C11F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603FD">
        <w:rPr>
          <w:rFonts w:ascii="Times New Roman" w:hAnsi="Times New Roman" w:cs="Times New Roman"/>
          <w:sz w:val="28"/>
          <w:szCs w:val="28"/>
        </w:rPr>
        <w:t xml:space="preserve">должно содержать: </w:t>
      </w:r>
    </w:p>
    <w:p w14:paraId="0AE6126F" w14:textId="6D1C3130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1) планируемые результаты выполнения работ (оказания услуг); </w:t>
      </w:r>
    </w:p>
    <w:p w14:paraId="2A39AC4C" w14:textId="6D97EE3A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2) описание состава работ (услуг); </w:t>
      </w:r>
    </w:p>
    <w:p w14:paraId="1989561C" w14:textId="789B2792" w:rsidR="00B603FD" w:rsidRP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3) предельный срок выполнения работ (оказания услуг) с учетом сроков, необходимых для размещения заказа; </w:t>
      </w:r>
    </w:p>
    <w:p w14:paraId="44B92FCA" w14:textId="0657E2CF" w:rsidR="00B603FD" w:rsidRDefault="00B603FD" w:rsidP="00247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3FD">
        <w:rPr>
          <w:rFonts w:ascii="Times New Roman" w:hAnsi="Times New Roman" w:cs="Times New Roman"/>
          <w:sz w:val="28"/>
          <w:szCs w:val="28"/>
        </w:rPr>
        <w:t xml:space="preserve">4) предельный объем средств на выполнение долгосрочного муниципального контракта (долгосрочных муниципальных контрактов) с разбивкой по годам. </w:t>
      </w:r>
    </w:p>
    <w:p w14:paraId="701D70AA" w14:textId="77777777" w:rsidR="001C11F0" w:rsidRDefault="001C11F0" w:rsidP="001C1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84EB9" w14:textId="77777777" w:rsidR="001C11F0" w:rsidRDefault="001C11F0" w:rsidP="001C1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BF171" w14:textId="115118C7" w:rsidR="001C11F0" w:rsidRDefault="001C11F0" w:rsidP="001C1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ЖКХ, </w:t>
      </w:r>
    </w:p>
    <w:p w14:paraId="642B434D" w14:textId="3C9CB20D" w:rsidR="001C11F0" w:rsidRDefault="001C11F0" w:rsidP="001C1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малого и среднего бизнеса администрации </w:t>
      </w:r>
    </w:p>
    <w:p w14:paraId="30971F91" w14:textId="62675F55" w:rsidR="004334C9" w:rsidRPr="00B603FD" w:rsidRDefault="001C11F0" w:rsidP="001C1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</w:t>
      </w:r>
      <w:r w:rsidR="00E21658">
        <w:rPr>
          <w:rFonts w:ascii="Times New Roman" w:hAnsi="Times New Roman" w:cs="Times New Roman"/>
          <w:sz w:val="28"/>
          <w:szCs w:val="28"/>
        </w:rPr>
        <w:tab/>
      </w:r>
      <w:r w:rsidR="00E21658">
        <w:rPr>
          <w:rFonts w:ascii="Times New Roman" w:hAnsi="Times New Roman" w:cs="Times New Roman"/>
          <w:sz w:val="28"/>
          <w:szCs w:val="28"/>
        </w:rPr>
        <w:tab/>
      </w:r>
      <w:r w:rsidR="00E21658">
        <w:rPr>
          <w:rFonts w:ascii="Times New Roman" w:hAnsi="Times New Roman" w:cs="Times New Roman"/>
          <w:sz w:val="28"/>
          <w:szCs w:val="28"/>
        </w:rPr>
        <w:tab/>
      </w:r>
      <w:r w:rsidR="00E21658">
        <w:rPr>
          <w:rFonts w:ascii="Times New Roman" w:hAnsi="Times New Roman" w:cs="Times New Roman"/>
          <w:sz w:val="28"/>
          <w:szCs w:val="28"/>
        </w:rPr>
        <w:tab/>
      </w:r>
      <w:r w:rsidR="009060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</w:t>
      </w:r>
      <w:proofErr w:type="spellEnd"/>
    </w:p>
    <w:sectPr w:rsidR="004334C9" w:rsidRPr="00B603FD" w:rsidSect="009060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F78C9" w14:textId="77777777" w:rsidR="00817E82" w:rsidRDefault="00817E82" w:rsidP="00B4115C">
      <w:pPr>
        <w:spacing w:after="0" w:line="240" w:lineRule="auto"/>
      </w:pPr>
      <w:r>
        <w:separator/>
      </w:r>
    </w:p>
  </w:endnote>
  <w:endnote w:type="continuationSeparator" w:id="0">
    <w:p w14:paraId="15DE5AC7" w14:textId="77777777" w:rsidR="00817E82" w:rsidRDefault="00817E82" w:rsidP="00B4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47320" w14:textId="77777777" w:rsidR="00817E82" w:rsidRDefault="00817E82" w:rsidP="00B4115C">
      <w:pPr>
        <w:spacing w:after="0" w:line="240" w:lineRule="auto"/>
      </w:pPr>
      <w:r>
        <w:separator/>
      </w:r>
    </w:p>
  </w:footnote>
  <w:footnote w:type="continuationSeparator" w:id="0">
    <w:p w14:paraId="467672F0" w14:textId="77777777" w:rsidR="00817E82" w:rsidRDefault="00817E82" w:rsidP="00B4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70B10"/>
    <w:multiLevelType w:val="multilevel"/>
    <w:tmpl w:val="EEAA8F9C"/>
    <w:lvl w:ilvl="0">
      <w:start w:val="1"/>
      <w:numFmt w:val="decimal"/>
      <w:lvlText w:val="%1."/>
      <w:lvlJc w:val="left"/>
      <w:pPr>
        <w:ind w:left="5823" w:hanging="360"/>
      </w:pPr>
    </w:lvl>
    <w:lvl w:ilvl="1">
      <w:start w:val="1"/>
      <w:numFmt w:val="lowerLetter"/>
      <w:lvlText w:val="%2."/>
      <w:lvlJc w:val="left"/>
      <w:pPr>
        <w:ind w:left="6543" w:hanging="360"/>
      </w:pPr>
    </w:lvl>
    <w:lvl w:ilvl="2">
      <w:start w:val="1"/>
      <w:numFmt w:val="lowerRoman"/>
      <w:lvlText w:val="%3."/>
      <w:lvlJc w:val="right"/>
      <w:pPr>
        <w:ind w:left="7263" w:hanging="180"/>
      </w:pPr>
    </w:lvl>
    <w:lvl w:ilvl="3">
      <w:start w:val="1"/>
      <w:numFmt w:val="decimal"/>
      <w:lvlText w:val="%4."/>
      <w:lvlJc w:val="left"/>
      <w:pPr>
        <w:ind w:left="7983" w:hanging="360"/>
      </w:pPr>
    </w:lvl>
    <w:lvl w:ilvl="4">
      <w:start w:val="1"/>
      <w:numFmt w:val="lowerLetter"/>
      <w:lvlText w:val="%5."/>
      <w:lvlJc w:val="left"/>
      <w:pPr>
        <w:ind w:left="8703" w:hanging="360"/>
      </w:pPr>
    </w:lvl>
    <w:lvl w:ilvl="5">
      <w:start w:val="1"/>
      <w:numFmt w:val="lowerRoman"/>
      <w:lvlText w:val="%6."/>
      <w:lvlJc w:val="right"/>
      <w:pPr>
        <w:ind w:left="9423" w:hanging="180"/>
      </w:pPr>
    </w:lvl>
    <w:lvl w:ilvl="6">
      <w:start w:val="1"/>
      <w:numFmt w:val="decimal"/>
      <w:lvlText w:val="%7."/>
      <w:lvlJc w:val="left"/>
      <w:pPr>
        <w:ind w:left="10143" w:hanging="360"/>
      </w:pPr>
    </w:lvl>
    <w:lvl w:ilvl="7">
      <w:start w:val="1"/>
      <w:numFmt w:val="lowerLetter"/>
      <w:lvlText w:val="%8."/>
      <w:lvlJc w:val="left"/>
      <w:pPr>
        <w:ind w:left="10863" w:hanging="360"/>
      </w:pPr>
    </w:lvl>
    <w:lvl w:ilvl="8">
      <w:start w:val="1"/>
      <w:numFmt w:val="lowerRoman"/>
      <w:lvlText w:val="%9."/>
      <w:lvlJc w:val="right"/>
      <w:pPr>
        <w:ind w:left="11583" w:hanging="180"/>
      </w:pPr>
    </w:lvl>
  </w:abstractNum>
  <w:abstractNum w:abstractNumId="1">
    <w:nsid w:val="7475744D"/>
    <w:multiLevelType w:val="hybridMultilevel"/>
    <w:tmpl w:val="EEAA8F9C"/>
    <w:lvl w:ilvl="0" w:tplc="0419000F">
      <w:start w:val="1"/>
      <w:numFmt w:val="decimal"/>
      <w:lvlText w:val="%1."/>
      <w:lvlJc w:val="left"/>
      <w:pPr>
        <w:ind w:left="5823" w:hanging="360"/>
      </w:pPr>
    </w:lvl>
    <w:lvl w:ilvl="1" w:tplc="04190019" w:tentative="1">
      <w:start w:val="1"/>
      <w:numFmt w:val="lowerLetter"/>
      <w:lvlText w:val="%2."/>
      <w:lvlJc w:val="left"/>
      <w:pPr>
        <w:ind w:left="6543" w:hanging="360"/>
      </w:p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D"/>
    <w:rsid w:val="00056554"/>
    <w:rsid w:val="00065C07"/>
    <w:rsid w:val="00175774"/>
    <w:rsid w:val="001C11F0"/>
    <w:rsid w:val="00247ADD"/>
    <w:rsid w:val="004334C9"/>
    <w:rsid w:val="006B2A1C"/>
    <w:rsid w:val="00817E82"/>
    <w:rsid w:val="009060C7"/>
    <w:rsid w:val="00B03848"/>
    <w:rsid w:val="00B4115C"/>
    <w:rsid w:val="00B603FD"/>
    <w:rsid w:val="00B714E9"/>
    <w:rsid w:val="00E21658"/>
    <w:rsid w:val="00E6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8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15C"/>
  </w:style>
  <w:style w:type="paragraph" w:styleId="a5">
    <w:name w:val="footer"/>
    <w:basedOn w:val="a"/>
    <w:link w:val="a6"/>
    <w:uiPriority w:val="99"/>
    <w:unhideWhenUsed/>
    <w:rsid w:val="00B4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15C"/>
  </w:style>
  <w:style w:type="paragraph" w:styleId="a7">
    <w:name w:val="List Paragraph"/>
    <w:basedOn w:val="a"/>
    <w:uiPriority w:val="34"/>
    <w:qFormat/>
    <w:rsid w:val="00B714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15C"/>
  </w:style>
  <w:style w:type="paragraph" w:styleId="a5">
    <w:name w:val="footer"/>
    <w:basedOn w:val="a"/>
    <w:link w:val="a6"/>
    <w:uiPriority w:val="99"/>
    <w:unhideWhenUsed/>
    <w:rsid w:val="00B4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15C"/>
  </w:style>
  <w:style w:type="paragraph" w:styleId="a7">
    <w:name w:val="List Paragraph"/>
    <w:basedOn w:val="a"/>
    <w:uiPriority w:val="34"/>
    <w:qFormat/>
    <w:rsid w:val="00B714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gkh-oks</dc:creator>
  <cp:keywords/>
  <dc:description/>
  <cp:lastModifiedBy>Acer</cp:lastModifiedBy>
  <cp:revision>9</cp:revision>
  <cp:lastPrinted>2021-02-05T08:55:00Z</cp:lastPrinted>
  <dcterms:created xsi:type="dcterms:W3CDTF">2021-02-03T11:40:00Z</dcterms:created>
  <dcterms:modified xsi:type="dcterms:W3CDTF">2021-02-15T12:08:00Z</dcterms:modified>
</cp:coreProperties>
</file>