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7DC" w:rsidRDefault="000727DC">
      <w:pPr>
        <w:rPr>
          <w:rFonts w:ascii="Times New Roman" w:hAnsi="Times New Roman" w:cs="Times New Roman"/>
          <w:sz w:val="28"/>
          <w:szCs w:val="28"/>
        </w:rPr>
      </w:pPr>
    </w:p>
    <w:p w:rsidR="00D10D7A" w:rsidRPr="00DB1BCB" w:rsidRDefault="00D10D7A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 w:rsidP="004A61B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ПРИЛОЖЕНИЕ</w:t>
      </w:r>
    </w:p>
    <w:p w:rsidR="000727DC" w:rsidRPr="00DB1BCB" w:rsidRDefault="008F2532" w:rsidP="004A61BE">
      <w:pPr>
        <w:tabs>
          <w:tab w:val="left" w:pos="4962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0727DC" w:rsidRPr="00DB1BCB" w:rsidRDefault="004A61BE" w:rsidP="004A61BE">
      <w:pPr>
        <w:tabs>
          <w:tab w:val="left" w:pos="4962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2DB2">
        <w:rPr>
          <w:rFonts w:ascii="Times New Roman" w:hAnsi="Times New Roman" w:cs="Times New Roman"/>
          <w:sz w:val="28"/>
          <w:szCs w:val="28"/>
        </w:rPr>
        <w:t>20.07.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 г.№</w:t>
      </w:r>
      <w:r w:rsidR="008F2532" w:rsidRPr="00DB1BCB">
        <w:rPr>
          <w:rFonts w:ascii="Times New Roman" w:hAnsi="Times New Roman" w:cs="Times New Roman"/>
          <w:sz w:val="28"/>
          <w:szCs w:val="28"/>
        </w:rPr>
        <w:t xml:space="preserve"> </w:t>
      </w:r>
      <w:r w:rsidR="00A32DB2">
        <w:rPr>
          <w:rFonts w:ascii="Times New Roman" w:hAnsi="Times New Roman" w:cs="Times New Roman"/>
          <w:sz w:val="28"/>
          <w:szCs w:val="28"/>
        </w:rPr>
        <w:t>250</w:t>
      </w:r>
    </w:p>
    <w:p w:rsidR="000727DC" w:rsidRDefault="000727DC">
      <w:pPr>
        <w:rPr>
          <w:rFonts w:ascii="Times New Roman" w:hAnsi="Times New Roman" w:cs="Times New Roman"/>
          <w:sz w:val="28"/>
          <w:szCs w:val="28"/>
        </w:rPr>
      </w:pPr>
    </w:p>
    <w:p w:rsidR="006D412A" w:rsidRDefault="006D412A">
      <w:pPr>
        <w:rPr>
          <w:rFonts w:ascii="Times New Roman" w:hAnsi="Times New Roman" w:cs="Times New Roman"/>
          <w:sz w:val="28"/>
          <w:szCs w:val="28"/>
        </w:rPr>
      </w:pPr>
    </w:p>
    <w:p w:rsidR="006D412A" w:rsidRDefault="006D412A">
      <w:pPr>
        <w:rPr>
          <w:rFonts w:ascii="Times New Roman" w:hAnsi="Times New Roman" w:cs="Times New Roman"/>
          <w:sz w:val="28"/>
          <w:szCs w:val="28"/>
        </w:rPr>
      </w:pPr>
    </w:p>
    <w:p w:rsidR="006D412A" w:rsidRPr="00DB1BCB" w:rsidRDefault="006D412A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DB1BCB">
        <w:rPr>
          <w:rFonts w:ascii="Times New Roman" w:hAnsi="Times New Roman" w:cs="Times New Roman"/>
          <w:color w:val="auto"/>
          <w:sz w:val="28"/>
          <w:szCs w:val="28"/>
        </w:rPr>
        <w:t xml:space="preserve">Правила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 </w:t>
      </w:r>
      <w:r w:rsidR="00F6132A" w:rsidRPr="00DB1BCB"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 Динского района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ind w:firstLine="419"/>
        <w:jc w:val="center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1.1. Настоящие Правила устанавливают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лицо), в объекты капитального строительства за счет средств бюджета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DB1BCB">
        <w:rPr>
          <w:rFonts w:ascii="Times New Roman" w:hAnsi="Times New Roman" w:cs="Times New Roman"/>
          <w:sz w:val="28"/>
          <w:szCs w:val="28"/>
        </w:rPr>
        <w:t xml:space="preserve">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приобретению ими объектов недвижимого имущества (далее соответственно - бюджетные инвестиции, решение).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1.2. Инициатором подготовки проекта решения может выступать администрация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DB1BCB">
        <w:rPr>
          <w:rFonts w:ascii="Times New Roman" w:hAnsi="Times New Roman" w:cs="Times New Roman"/>
          <w:sz w:val="28"/>
          <w:szCs w:val="28"/>
        </w:rPr>
        <w:t>, являющаяся главным распорядителем средств местного бюджета (далее - главный распорядитель).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1.3. 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имущества, на приобретение которых необходимо осуществлять бюджетные инвестиции, производится с учетом: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а) приоритетов и целей развития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DB1BCB">
        <w:rPr>
          <w:rFonts w:ascii="Times New Roman" w:hAnsi="Times New Roman" w:cs="Times New Roman"/>
          <w:sz w:val="28"/>
          <w:szCs w:val="28"/>
        </w:rPr>
        <w:t>, исходя из прогноза и программы социально-экономического развития сельского поселения, муниципальных программ, а также документов территориального планирования сельского поселения;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lastRenderedPageBreak/>
        <w:t>б) оценки эффективности использования средств местного бюджета, направляемых на капитальные вложения;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в) оценки влияния создания объекта капитального строительства на комплексное развитие территории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DB1BCB">
        <w:rPr>
          <w:rFonts w:ascii="Times New Roman" w:hAnsi="Times New Roman" w:cs="Times New Roman"/>
          <w:sz w:val="28"/>
          <w:szCs w:val="28"/>
        </w:rPr>
        <w:t>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г) 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1.4. 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а) 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б) приобретение земельных участков под строительство;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в) 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</w:t>
      </w:r>
      <w:hyperlink r:id="rId7" w:history="1">
        <w:r w:rsidRPr="00DB1B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 части 5 статьи 49</w:t>
        </w:r>
      </w:hyperlink>
      <w:r w:rsidRPr="00DB1BC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</w:t>
      </w:r>
      <w:hyperlink r:id="rId8" w:history="1">
        <w:r w:rsidRPr="00DB1B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2 статьи 8.3</w:t>
        </w:r>
      </w:hyperlink>
      <w:r w:rsidRPr="00DB1BC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DB1BCB">
        <w:rPr>
          <w:rFonts w:ascii="Times New Roman" w:hAnsi="Times New Roman" w:cs="Times New Roman"/>
          <w:sz w:val="28"/>
          <w:szCs w:val="28"/>
        </w:rPr>
        <w:t>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г) проведение аудита проектной документации в случаях, установленных законодательством Российской Федерации;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д) 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случаях.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2. Подготовка проекта решения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2.1. Главный распорядитель подготавливает проект решения в форме проекта постановления администрации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DB1BCB">
        <w:rPr>
          <w:rFonts w:ascii="Times New Roman" w:hAnsi="Times New Roman" w:cs="Times New Roman"/>
          <w:sz w:val="28"/>
          <w:szCs w:val="28"/>
        </w:rPr>
        <w:t>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2.2. 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а) 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б) 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в) определение главного распорядителя;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г) определение застройщика или заказчика (заказчика-застройщика);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д) 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е) срок ввода в эксплуатацию объекта капитального строительства и (или) приобретения объекта недвижимости;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ж) 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з) 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и) 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2.3. 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В случае реализации инвестиционного проекта в рамках мероприятия муниципальной программы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DB1BCB">
        <w:rPr>
          <w:rFonts w:ascii="Times New Roman" w:hAnsi="Times New Roman" w:cs="Times New Roman"/>
          <w:sz w:val="28"/>
          <w:szCs w:val="28"/>
        </w:rPr>
        <w:t xml:space="preserve">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2.4. В течение трех месяцев со дня изготовления проекта постановления администрации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DB1BCB">
        <w:rPr>
          <w:rFonts w:ascii="Times New Roman" w:hAnsi="Times New Roman" w:cs="Times New Roman"/>
          <w:sz w:val="28"/>
          <w:szCs w:val="28"/>
        </w:rPr>
        <w:t xml:space="preserve">, указанного в пункте 2.1 настоящих Правил, главным распорядителем бюджетных средств, главой </w:t>
      </w:r>
      <w:r w:rsidR="004A61BE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DB1B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61BE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DB1BCB">
        <w:rPr>
          <w:rFonts w:ascii="Times New Roman" w:hAnsi="Times New Roman" w:cs="Times New Roman"/>
          <w:sz w:val="28"/>
          <w:szCs w:val="28"/>
        </w:rPr>
        <w:t xml:space="preserve"> осуществляется оценка 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2.5. Для проведения оценки, указанной в пункте 2.4 настоящих Правил, главным распорядителем одновременно с подготовленным проектом постановления администрации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DB1BCB">
        <w:rPr>
          <w:rFonts w:ascii="Times New Roman" w:hAnsi="Times New Roman" w:cs="Times New Roman"/>
          <w:sz w:val="28"/>
          <w:szCs w:val="28"/>
        </w:rPr>
        <w:t xml:space="preserve"> предоставляются следующие документы: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а) паспорт инвестиционного проекта;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б) обоснование экономической целесообразности осуществления капитальных вложений;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в) копия утвержденного задания на проектирование;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г) 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д) копия разрешения на строительство;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е) 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ж) отчет об оценке приобретаемого объекта недвижимого имущества;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з) документальное подтверждение каждого участника реализации инвестиционного проекта об осуществлении финансирования (софинансирования) этого проекта и намечаемом размере финансирования (софинансирования);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и) 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за последние 2 года;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к) 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л) 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2.6. Документы, указанные в пункте 2.5 настоящих Правил, предоставляются для оценки 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не позднее чем за 4 месяца до определенной в установленном порядке даты начала рассмотрения проекта основных характеристик местного бюджета на очередной финансовый год, одобрения методики расчета базовых бюджетных ассигнований по муниципальным программам и непрограммным направлениям деятельности на очередной финансовый год и оценки общего объема дополнительных бюджетных ассигнований местного бюджета на очередной финансовый год.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2.7. Оценка эффективности использования средств местного бюджета основывается на установлении соответствия инвестиционного проекта качественным и количественным критериям.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2.8. Качественными критериями являются: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а) 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б) соответствие цели инвестиционного проекта приоритетам и целям, определенным в прогнозах и программах социально-экономического развития муниципального образования;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в) 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программ;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г) 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муниципальными органами полномочий, отнесенных к предмету их ведения. Проверка по этому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Кроме того, в случае приобретения объекта недвижимого имущества в муниципальную собственность проверяется отсутствия в казне муниципального образования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д) обоснование необходимости реализации инвестиционного проекта с привлечением средств местного бюджета;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е) наличие муниципальных целевых программ, реализуемых за счет средств местных бюджетов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собственность, осуществляемых в рамках инвестиционных проектов, или решений органов местного самоуправления о строительстве, приобретении в муниципальную собственность объектов капитального строительства, объектов недвижимого имущества, содержащих сведения о ресурсном обеспечении, мощности и сроках реализации инвестиционного проекта в отношении объекта капитального строительства, объекта недвижимого имущества;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ж) 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строительства, аналогичного по назначению и проектной мощности, природным и иным условиям территории, на которой планируется осуществлять строительство.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2.9. Инвестиционные проекты, соответствующие качественным критериям, подлежат дальнейшей проверке на основе следующих количественных критериев оценки эффективности использования средств местного бюджета, направляемых на капитальные вложения: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а) значения количественных показателей (показателя) результатов реализации инвестиционного проекта;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б) оценка вклада инвестиционного проекта в достижение целей и задач муниципальной программы (в случае реализации инвестиционного проекта в рамках муниципальной программы);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в) 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г) 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2.10. Результатом оценки, указанной в пункте 2.4 настоящих Правил, является заключение, подготовленное по форме согласно приложению к настоящим Правилам,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2.11. Положительное заключение является обязательным документом, необходимым для принятия решения о предоставлении средств бюджета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DB1BCB">
        <w:rPr>
          <w:rFonts w:ascii="Times New Roman" w:hAnsi="Times New Roman" w:cs="Times New Roman"/>
          <w:sz w:val="28"/>
          <w:szCs w:val="28"/>
        </w:rPr>
        <w:t xml:space="preserve"> на реализацию этого инвестиционного проекта за счет средств местного бюджета.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стоимость) 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реставрации, техническое перевооружение или приобретение которых осуществляется в соответствии с этим инвестиционным проектом, то в отношении таких проектов проводится повторная оценка в соответствии с настоящими Правилами.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2.12. 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2.13. При наличии положительного заключения об 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главным распорядителем принимается решение не позднее дня внесения на рассмотрение Совета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DB1BCB">
        <w:rPr>
          <w:rFonts w:ascii="Times New Roman" w:hAnsi="Times New Roman" w:cs="Times New Roman"/>
          <w:sz w:val="28"/>
          <w:szCs w:val="28"/>
        </w:rPr>
        <w:t xml:space="preserve"> проекта решения о местном бюджете.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2.14. Принятые до утверждения документов территориального планирования </w:t>
      </w:r>
      <w:r w:rsidR="004A61BE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Pr="00DB1BC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A61BE"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 w:rsidRPr="00DB1BCB">
        <w:rPr>
          <w:rFonts w:ascii="Times New Roman" w:hAnsi="Times New Roman" w:cs="Times New Roman"/>
          <w:sz w:val="28"/>
          <w:szCs w:val="28"/>
        </w:rPr>
        <w:t>решения в отношении объектов капитального строительства местного значения, подлежащих отображению в документах территориального планирования, но не предусмотренных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территориального планирования.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2.15. Внесение изменений в решение осуществляется в порядке, установленном настоящими Правилами.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2.16. Одновременно с проектом решения главным распорядителем подготавливается проект договора о предоставлении бюджетных инвестиций, оформленного в соответствии с требованиями 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</w:t>
      </w:r>
      <w:r w:rsidR="00534038"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бюджета.</w:t>
      </w:r>
    </w:p>
    <w:p w:rsidR="000727DC" w:rsidRDefault="000727DC" w:rsidP="005340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4038" w:rsidRDefault="00534038" w:rsidP="005340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4038" w:rsidRDefault="00534038" w:rsidP="005340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534038" w:rsidRPr="00DB1BCB" w:rsidRDefault="00534038" w:rsidP="005340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 А. Кожевникова</w:t>
      </w: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4038" w:rsidRDefault="0053403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 w:rsidP="00534038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Приложение</w:t>
      </w:r>
    </w:p>
    <w:p w:rsidR="000727DC" w:rsidRPr="00DB1BCB" w:rsidRDefault="008F2532" w:rsidP="00534038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к Правилам принятия решения о предоставлении бюджетных инвестиций юридическим лицам,</w:t>
      </w:r>
    </w:p>
    <w:p w:rsidR="000727DC" w:rsidRPr="00DB1BCB" w:rsidRDefault="008F2532" w:rsidP="00534038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не являющимся муниципальными</w:t>
      </w:r>
    </w:p>
    <w:p w:rsidR="000727DC" w:rsidRPr="00DB1BCB" w:rsidRDefault="008F2532" w:rsidP="00534038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учреждениями и муниципальными</w:t>
      </w:r>
    </w:p>
    <w:p w:rsidR="000727DC" w:rsidRPr="00DB1BCB" w:rsidRDefault="008F2532" w:rsidP="00534038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унитарными предприятиями, в объекты капитального строительства за счет средств бюджета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 w:rsidP="00534038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B1BCB">
        <w:rPr>
          <w:rFonts w:ascii="Times New Roman" w:hAnsi="Times New Roman" w:cs="Times New Roman"/>
          <w:color w:val="auto"/>
          <w:sz w:val="28"/>
          <w:szCs w:val="28"/>
        </w:rPr>
        <w:t>Форма заключения</w:t>
      </w:r>
    </w:p>
    <w:p w:rsidR="000727DC" w:rsidRPr="00DB1BCB" w:rsidRDefault="008F2532" w:rsidP="00534038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B1BCB">
        <w:rPr>
          <w:rFonts w:ascii="Times New Roman" w:hAnsi="Times New Roman" w:cs="Times New Roman"/>
          <w:color w:val="auto"/>
          <w:sz w:val="28"/>
          <w:szCs w:val="28"/>
        </w:rPr>
        <w:t>о результатах проверки инвестиционных проектов</w:t>
      </w:r>
    </w:p>
    <w:p w:rsidR="000727DC" w:rsidRPr="00DB1BCB" w:rsidRDefault="008F2532" w:rsidP="00534038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B1BCB">
        <w:rPr>
          <w:rFonts w:ascii="Times New Roman" w:hAnsi="Times New Roman" w:cs="Times New Roman"/>
          <w:color w:val="auto"/>
          <w:sz w:val="28"/>
          <w:szCs w:val="28"/>
        </w:rPr>
        <w:t>на предмет эффективности использования средств местного</w:t>
      </w:r>
    </w:p>
    <w:p w:rsidR="000727DC" w:rsidRPr="00DB1BCB" w:rsidRDefault="008F2532" w:rsidP="00534038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B1BCB">
        <w:rPr>
          <w:rFonts w:ascii="Times New Roman" w:hAnsi="Times New Roman" w:cs="Times New Roman"/>
          <w:color w:val="auto"/>
          <w:sz w:val="28"/>
          <w:szCs w:val="28"/>
        </w:rPr>
        <w:t>бюджета, направляемых на капитальные вложения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1. 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Наименование инвестиционного проекта:________________________________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Наименование главного распорядителя: _________________________________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Наименование участника (участников) реализации инвестиционного проекта: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 ___________________________________________________________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Реквизиты комплекта документов, представленных главным распорядителем: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регистрационный номер ________; дата__________________________________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фамилия, имя, отчество и должность подписавшего лица 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Срок реализации инвестиционного проекта: ____________________________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Значения количественных показателей (показателя) реализации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инвестиционного проекта с указанием единиц измерения показателей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(показателя):_______________________________________________________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Стоимость инвестиционного проекта всего в ценах соответствующих лет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(в тыс. рублей с одним знаком после запятой): __________________________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2. 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на основе качественных критериев, %: ________________________________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на основе количественных критериев, %: 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в том числе по отдельным критериям, % _______________________________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3. Заключение о результатах проверки инвестиционного проекта на предмет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эффективности использования средств местного бюджета, направляемых на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капитальные вложения: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Уполномоченное лицо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_________________________________________/ _____________________</w:t>
      </w:r>
    </w:p>
    <w:p w:rsidR="000727DC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(должность, подпись) Фамилия, имя, отчество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"____" _____________20_ г.</w:t>
      </w:r>
    </w:p>
    <w:p w:rsidR="000727DC" w:rsidRPr="00DB1BCB" w:rsidRDefault="000727DC">
      <w:pPr>
        <w:rPr>
          <w:rFonts w:ascii="Times New Roman" w:hAnsi="Times New Roman" w:cs="Times New Roman"/>
          <w:sz w:val="28"/>
          <w:szCs w:val="28"/>
        </w:rPr>
      </w:pPr>
    </w:p>
    <w:p w:rsidR="00534038" w:rsidRDefault="00534038" w:rsidP="005340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534038" w:rsidRPr="00DB1BCB" w:rsidRDefault="00534038" w:rsidP="005340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 А. Кожевникова</w:t>
      </w:r>
    </w:p>
    <w:p w:rsidR="008F2532" w:rsidRPr="00DB1BCB" w:rsidRDefault="008F253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F2532" w:rsidRPr="00DB1BCB" w:rsidSect="00F53E77">
      <w:footerReference w:type="default" r:id="rId9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B94" w:rsidRDefault="00BA6B94">
      <w:r>
        <w:separator/>
      </w:r>
    </w:p>
  </w:endnote>
  <w:endnote w:type="continuationSeparator" w:id="0">
    <w:p w:rsidR="00BA6B94" w:rsidRDefault="00BA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28743"/>
      <w:docPartObj>
        <w:docPartGallery w:val="Page Numbers (Bottom of Page)"/>
        <w:docPartUnique/>
      </w:docPartObj>
    </w:sdtPr>
    <w:sdtEndPr/>
    <w:sdtContent>
      <w:p w:rsidR="00F53E77" w:rsidRDefault="00F53E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12A">
          <w:rPr>
            <w:noProof/>
          </w:rPr>
          <w:t>3</w:t>
        </w:r>
        <w:r>
          <w:fldChar w:fldCharType="end"/>
        </w:r>
      </w:p>
    </w:sdtContent>
  </w:sdt>
  <w:p w:rsidR="00B86AE4" w:rsidRDefault="00B86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B94" w:rsidRDefault="00BA6B94">
      <w:r>
        <w:separator/>
      </w:r>
    </w:p>
  </w:footnote>
  <w:footnote w:type="continuationSeparator" w:id="0">
    <w:p w:rsidR="00BA6B94" w:rsidRDefault="00BA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32A"/>
    <w:rsid w:val="000727DC"/>
    <w:rsid w:val="000C2B0A"/>
    <w:rsid w:val="001B58FC"/>
    <w:rsid w:val="004A61BE"/>
    <w:rsid w:val="00534038"/>
    <w:rsid w:val="006D412A"/>
    <w:rsid w:val="008F2532"/>
    <w:rsid w:val="00974BAB"/>
    <w:rsid w:val="009E72BC"/>
    <w:rsid w:val="00A32DB2"/>
    <w:rsid w:val="00B86AE4"/>
    <w:rsid w:val="00BA6B94"/>
    <w:rsid w:val="00CB35DD"/>
    <w:rsid w:val="00D10D7A"/>
    <w:rsid w:val="00D269C8"/>
    <w:rsid w:val="00DB0D9A"/>
    <w:rsid w:val="00DB1BCB"/>
    <w:rsid w:val="00E50A86"/>
    <w:rsid w:val="00F53E77"/>
    <w:rsid w:val="00F6132A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7CB1BB"/>
  <w14:defaultImageDpi w14:val="0"/>
  <w15:docId w15:val="{3DCE630A-BF76-4CF1-8026-EB9819B8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B1B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1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58&amp;sub=83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38258&amp;sub=49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ASUS</cp:lastModifiedBy>
  <cp:revision>12</cp:revision>
  <cp:lastPrinted>2020-07-16T06:22:00Z</cp:lastPrinted>
  <dcterms:created xsi:type="dcterms:W3CDTF">2020-07-07T05:46:00Z</dcterms:created>
  <dcterms:modified xsi:type="dcterms:W3CDTF">2020-07-21T07:00:00Z</dcterms:modified>
</cp:coreProperties>
</file>