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62" w:left="851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62" w:left="85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НОВОТИТАРОВСКОГО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21.11.2018                                                                                     № 535</w:t>
      </w:r>
    </w:p>
    <w:p>
      <w:pPr>
        <w:widowControl w:val="false"/>
        <w:suppressAutoHyphens w:val="true"/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включении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актов о приеме-передаче объектов нефинансовых активов № 00000007 от 17.08.2018, № 00000058 от 13.07.2018, № 00000059 от 13.07.2018, товарной накладной № 000000000000058 от 13.07.2018, накладной (требования) № 6, приказа о приеме литературы в имущество МБУК БО НСП № 11 от 17.08.2018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 о с т а н о в л я ю:</w:t>
      </w:r>
    </w:p>
    <w:p>
      <w:pPr>
        <w:numPr>
          <w:ilvl w:val="0"/>
          <w:numId w:val="12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Включить в реестр муниципальной собственности, в раздел Муниципальное бюджетное учреждение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Библиотечное объединение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имущество, согласно перечня.</w:t>
      </w:r>
    </w:p>
    <w:p>
      <w:pPr>
        <w:numPr>
          <w:ilvl w:val="0"/>
          <w:numId w:val="12"/>
        </w:numPr>
        <w:spacing w:before="0" w:after="20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реестр муниципальной собственности Новотитаровского сельского поселения Динского района.</w:t>
      </w:r>
    </w:p>
    <w:p>
      <w:pPr>
        <w:numPr>
          <w:ilvl w:val="0"/>
          <w:numId w:val="12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numPr>
          <w:ilvl w:val="0"/>
          <w:numId w:val="12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 xml:space="preserve">   С.К. Кошман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21.11.2018 № 535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имущества, подлежащего включению в реестр муниципальной собственности 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40"/>
        <w:gridCol w:w="3679"/>
        <w:gridCol w:w="2410"/>
        <w:gridCol w:w="2551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балансовой стоимости, в руб.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возникновения права муниципальной собственности на имущество</w:t>
            </w:r>
          </w:p>
        </w:tc>
      </w:tr>
      <w:tr>
        <w:trPr>
          <w:trHeight w:val="647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Библиотечный фонд 2018 (9 экз.) библиотека Горького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11 754,37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655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Библиотечный фонд 2018 (174 экз.) библиотека Горького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39 845,52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611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Библиотечный фонд 2018 (161 экз.) детская библиотека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20 088,12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экономического отдела</w:t>
        <w:tab/>
        <w:tab/>
        <w:tab/>
        <w:tab/>
        <w:t xml:space="preserve">    А.А. Кожевникова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